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410"/>
        <w:gridCol w:w="2551"/>
      </w:tblGrid>
      <w:tr w:rsidR="006F48D4" w:rsidRPr="009E2B84" w14:paraId="13701DE4" w14:textId="77777777" w:rsidTr="00582F03">
        <w:trPr>
          <w:gridAfter w:val="1"/>
          <w:wAfter w:w="2551" w:type="dxa"/>
          <w:cantSplit/>
          <w:trHeight w:val="569"/>
        </w:trPr>
        <w:tc>
          <w:tcPr>
            <w:tcW w:w="4928" w:type="dxa"/>
            <w:shd w:val="clear" w:color="auto" w:fill="BFBFBF"/>
            <w:vAlign w:val="center"/>
          </w:tcPr>
          <w:p w14:paraId="13701DE2" w14:textId="77777777" w:rsidR="006F48D4" w:rsidRPr="00D44314" w:rsidRDefault="006F48D4" w:rsidP="00D44314">
            <w:pPr>
              <w:jc w:val="center"/>
              <w:rPr>
                <w:b/>
              </w:rPr>
            </w:pPr>
            <w:r w:rsidRPr="00D44314">
              <w:rPr>
                <w:b/>
                <w:noProof/>
              </w:rPr>
              <w:drawing>
                <wp:anchor distT="0" distB="0" distL="114300" distR="114300" simplePos="0" relativeHeight="251659264" behindDoc="1" locked="0" layoutInCell="0" allowOverlap="1" wp14:anchorId="137021E8" wp14:editId="137021E9">
                  <wp:simplePos x="0" y="0"/>
                  <wp:positionH relativeFrom="column">
                    <wp:posOffset>4766310</wp:posOffset>
                  </wp:positionH>
                  <wp:positionV relativeFrom="paragraph">
                    <wp:posOffset>-80010</wp:posOffset>
                  </wp:positionV>
                  <wp:extent cx="1330960" cy="110553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96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314">
              <w:rPr>
                <w:b/>
              </w:rPr>
              <w:t>REPORT TO</w:t>
            </w:r>
          </w:p>
        </w:tc>
        <w:tc>
          <w:tcPr>
            <w:tcW w:w="2410" w:type="dxa"/>
            <w:shd w:val="clear" w:color="auto" w:fill="BFBFBF"/>
            <w:vAlign w:val="center"/>
          </w:tcPr>
          <w:p w14:paraId="13701DE3" w14:textId="77777777" w:rsidR="006F48D4" w:rsidRPr="00D44314" w:rsidRDefault="006F48D4" w:rsidP="00D44314">
            <w:pPr>
              <w:jc w:val="center"/>
              <w:rPr>
                <w:b/>
              </w:rPr>
            </w:pPr>
            <w:r w:rsidRPr="00D44314">
              <w:rPr>
                <w:b/>
              </w:rPr>
              <w:t>ON</w:t>
            </w:r>
          </w:p>
        </w:tc>
      </w:tr>
      <w:tr w:rsidR="006F48D4" w:rsidRPr="009E2B84" w14:paraId="13701DE9" w14:textId="77777777" w:rsidTr="00582F03">
        <w:trPr>
          <w:gridAfter w:val="1"/>
          <w:wAfter w:w="2551" w:type="dxa"/>
          <w:cantSplit/>
          <w:trHeight w:val="654"/>
        </w:trPr>
        <w:tc>
          <w:tcPr>
            <w:tcW w:w="4928" w:type="dxa"/>
            <w:tcBorders>
              <w:bottom w:val="nil"/>
            </w:tcBorders>
            <w:vAlign w:val="center"/>
          </w:tcPr>
          <w:p w14:paraId="13701DE5" w14:textId="77777777" w:rsidR="00E91FFB" w:rsidRDefault="00E91FFB" w:rsidP="00017D6A">
            <w:pPr>
              <w:jc w:val="center"/>
              <w:rPr>
                <w:sz w:val="24"/>
                <w:szCs w:val="24"/>
              </w:rPr>
            </w:pPr>
            <w:r>
              <w:rPr>
                <w:sz w:val="24"/>
                <w:szCs w:val="24"/>
              </w:rPr>
              <w:t>Scrutiny Budget and Performance Panel</w:t>
            </w:r>
          </w:p>
          <w:p w14:paraId="13701DE6" w14:textId="77777777" w:rsidR="006F48D4" w:rsidRPr="00D44314" w:rsidRDefault="00D44314" w:rsidP="00017D6A">
            <w:pPr>
              <w:jc w:val="center"/>
              <w:rPr>
                <w:sz w:val="24"/>
                <w:szCs w:val="24"/>
              </w:rPr>
            </w:pPr>
            <w:r w:rsidRPr="00D44314">
              <w:rPr>
                <w:sz w:val="24"/>
                <w:szCs w:val="24"/>
              </w:rPr>
              <w:t>Cabinet</w:t>
            </w:r>
          </w:p>
        </w:tc>
        <w:tc>
          <w:tcPr>
            <w:tcW w:w="2410" w:type="dxa"/>
            <w:tcBorders>
              <w:bottom w:val="nil"/>
            </w:tcBorders>
            <w:vAlign w:val="center"/>
          </w:tcPr>
          <w:p w14:paraId="13701DE7" w14:textId="77777777" w:rsidR="00E91FFB" w:rsidRDefault="00E91FFB" w:rsidP="00D44314">
            <w:pPr>
              <w:jc w:val="center"/>
            </w:pPr>
            <w:r>
              <w:t>9 September</w:t>
            </w:r>
          </w:p>
          <w:p w14:paraId="13701DE8" w14:textId="77777777" w:rsidR="00017D6A" w:rsidRPr="00D44314" w:rsidRDefault="00017D6A" w:rsidP="00D44314">
            <w:pPr>
              <w:jc w:val="center"/>
            </w:pPr>
            <w:r>
              <w:t>11 September</w:t>
            </w:r>
          </w:p>
        </w:tc>
      </w:tr>
      <w:tr w:rsidR="006F48D4" w:rsidRPr="009E2B84" w14:paraId="13701DEB" w14:textId="77777777" w:rsidTr="00582F03">
        <w:trPr>
          <w:gridAfter w:val="1"/>
          <w:wAfter w:w="2551" w:type="dxa"/>
          <w:cantSplit/>
          <w:trHeight w:val="560"/>
        </w:trPr>
        <w:tc>
          <w:tcPr>
            <w:tcW w:w="7338" w:type="dxa"/>
            <w:gridSpan w:val="2"/>
            <w:tcBorders>
              <w:left w:val="nil"/>
              <w:right w:val="nil"/>
            </w:tcBorders>
          </w:tcPr>
          <w:p w14:paraId="13701DEA" w14:textId="77777777" w:rsidR="006F48D4" w:rsidRPr="009E2B84" w:rsidRDefault="006F48D4" w:rsidP="00D44314"/>
        </w:tc>
      </w:tr>
      <w:tr w:rsidR="006F48D4" w:rsidRPr="009E2B84" w14:paraId="13701DEF" w14:textId="77777777" w:rsidTr="00582F03">
        <w:trPr>
          <w:cantSplit/>
        </w:trPr>
        <w:tc>
          <w:tcPr>
            <w:tcW w:w="4928" w:type="dxa"/>
            <w:shd w:val="clear" w:color="auto" w:fill="BFBFBF"/>
            <w:vAlign w:val="center"/>
          </w:tcPr>
          <w:p w14:paraId="13701DEC" w14:textId="77777777" w:rsidR="006F48D4" w:rsidRPr="009E2B84" w:rsidRDefault="006F48D4" w:rsidP="00017D6A">
            <w:pPr>
              <w:jc w:val="center"/>
              <w:rPr>
                <w:b/>
              </w:rPr>
            </w:pPr>
            <w:r w:rsidRPr="009E2B84">
              <w:rPr>
                <w:b/>
              </w:rPr>
              <w:t>TITLE</w:t>
            </w:r>
          </w:p>
        </w:tc>
        <w:tc>
          <w:tcPr>
            <w:tcW w:w="2410" w:type="dxa"/>
            <w:shd w:val="clear" w:color="auto" w:fill="BFBFBF"/>
            <w:vAlign w:val="center"/>
          </w:tcPr>
          <w:p w14:paraId="13701DED" w14:textId="77777777" w:rsidR="006F48D4" w:rsidRPr="009E2B84" w:rsidRDefault="006F48D4" w:rsidP="00F80A0C">
            <w:pPr>
              <w:jc w:val="center"/>
              <w:rPr>
                <w:b/>
              </w:rPr>
            </w:pPr>
            <w:r w:rsidRPr="009E2B84">
              <w:rPr>
                <w:b/>
              </w:rPr>
              <w:t>PORTFOLIO</w:t>
            </w:r>
          </w:p>
        </w:tc>
        <w:tc>
          <w:tcPr>
            <w:tcW w:w="2551" w:type="dxa"/>
            <w:shd w:val="clear" w:color="auto" w:fill="BFBFBF"/>
            <w:vAlign w:val="center"/>
          </w:tcPr>
          <w:p w14:paraId="13701DEE" w14:textId="77777777" w:rsidR="006F48D4" w:rsidRPr="009E2B84" w:rsidRDefault="006F48D4" w:rsidP="00F80A0C">
            <w:pPr>
              <w:jc w:val="center"/>
              <w:rPr>
                <w:b/>
              </w:rPr>
            </w:pPr>
            <w:r>
              <w:rPr>
                <w:b/>
              </w:rPr>
              <w:t>REPORT OF</w:t>
            </w:r>
          </w:p>
        </w:tc>
      </w:tr>
      <w:tr w:rsidR="006F48D4" w:rsidRPr="009E2B84" w14:paraId="13701DF3" w14:textId="77777777" w:rsidTr="00582F03">
        <w:trPr>
          <w:cantSplit/>
          <w:trHeight w:val="667"/>
        </w:trPr>
        <w:tc>
          <w:tcPr>
            <w:tcW w:w="4928" w:type="dxa"/>
            <w:vAlign w:val="center"/>
          </w:tcPr>
          <w:p w14:paraId="13701DF0" w14:textId="77777777" w:rsidR="006F48D4" w:rsidRPr="00F20BE4" w:rsidRDefault="00F20BE4" w:rsidP="00300113">
            <w:pPr>
              <w:jc w:val="center"/>
            </w:pPr>
            <w:r>
              <w:t xml:space="preserve">Budget Monitoring </w:t>
            </w:r>
            <w:r w:rsidR="00300113">
              <w:t>2019/20 – Month 4 (July)</w:t>
            </w:r>
          </w:p>
        </w:tc>
        <w:tc>
          <w:tcPr>
            <w:tcW w:w="2410" w:type="dxa"/>
            <w:vAlign w:val="center"/>
          </w:tcPr>
          <w:p w14:paraId="13701DF1" w14:textId="77777777" w:rsidR="006F48D4" w:rsidRPr="009E2B84" w:rsidRDefault="00017D6A" w:rsidP="00F20BE4">
            <w:pPr>
              <w:jc w:val="center"/>
            </w:pPr>
            <w:r>
              <w:t>Finance, Property and Assets</w:t>
            </w:r>
          </w:p>
        </w:tc>
        <w:tc>
          <w:tcPr>
            <w:tcW w:w="2551" w:type="dxa"/>
            <w:vAlign w:val="center"/>
          </w:tcPr>
          <w:p w14:paraId="13701DF2" w14:textId="77777777" w:rsidR="006F48D4" w:rsidRPr="009E2B84" w:rsidRDefault="007F100A" w:rsidP="00F20BE4">
            <w:pPr>
              <w:jc w:val="center"/>
            </w:pPr>
            <w:r w:rsidRPr="007F100A">
              <w:t>Interim Section 151 Officer</w:t>
            </w:r>
          </w:p>
        </w:tc>
      </w:tr>
    </w:tbl>
    <w:p w14:paraId="13701DF4" w14:textId="77777777" w:rsidR="006F48D4" w:rsidRDefault="006F48D4" w:rsidP="00582F03"/>
    <w:p w14:paraId="13701DF5" w14:textId="77777777" w:rsidR="00D44314" w:rsidRDefault="00D44314" w:rsidP="00582F03"/>
    <w:tbl>
      <w:tblPr>
        <w:tblW w:w="7655" w:type="dxa"/>
        <w:tblInd w:w="-11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652"/>
        <w:gridCol w:w="1003"/>
      </w:tblGrid>
      <w:tr w:rsidR="00D44314" w:rsidRPr="009C1143" w14:paraId="13701DF8" w14:textId="77777777" w:rsidTr="00582F03">
        <w:tc>
          <w:tcPr>
            <w:tcW w:w="6652" w:type="dxa"/>
            <w:shd w:val="clear" w:color="auto" w:fill="auto"/>
          </w:tcPr>
          <w:p w14:paraId="13701DF6" w14:textId="77777777" w:rsidR="00F20BE4" w:rsidRPr="009C1143" w:rsidRDefault="00D44314" w:rsidP="0088690F">
            <w:pPr>
              <w:spacing w:after="120"/>
              <w:rPr>
                <w:szCs w:val="22"/>
              </w:rPr>
            </w:pPr>
            <w:r w:rsidRPr="009C1143">
              <w:rPr>
                <w:szCs w:val="22"/>
              </w:rPr>
              <w:t xml:space="preserve">Is this report a </w:t>
            </w:r>
            <w:r w:rsidRPr="009C1143">
              <w:rPr>
                <w:b/>
                <w:szCs w:val="22"/>
              </w:rPr>
              <w:t>KEY DECISION</w:t>
            </w:r>
            <w:r w:rsidRPr="009C1143">
              <w:rPr>
                <w:szCs w:val="22"/>
              </w:rPr>
              <w:t xml:space="preserve"> (i.e. more than £</w:t>
            </w:r>
            <w:r>
              <w:rPr>
                <w:szCs w:val="22"/>
              </w:rPr>
              <w:t>100</w:t>
            </w:r>
            <w:r w:rsidRPr="009C1143">
              <w:rPr>
                <w:szCs w:val="22"/>
              </w:rPr>
              <w:t>,000 or impacting on more than 2 Borough wards?)</w:t>
            </w:r>
          </w:p>
        </w:tc>
        <w:tc>
          <w:tcPr>
            <w:tcW w:w="1003" w:type="dxa"/>
            <w:shd w:val="clear" w:color="auto" w:fill="auto"/>
          </w:tcPr>
          <w:p w14:paraId="13701DF7" w14:textId="77777777" w:rsidR="00D44314" w:rsidRPr="008A2473" w:rsidRDefault="00F20BE4" w:rsidP="00F80A0C">
            <w:pPr>
              <w:rPr>
                <w:szCs w:val="22"/>
              </w:rPr>
            </w:pPr>
            <w:r w:rsidRPr="008A2473">
              <w:rPr>
                <w:szCs w:val="22"/>
              </w:rPr>
              <w:t>Yes</w:t>
            </w:r>
          </w:p>
        </w:tc>
      </w:tr>
      <w:tr w:rsidR="00D44314" w:rsidRPr="009C1143" w14:paraId="13701DFB" w14:textId="77777777" w:rsidTr="00582F03">
        <w:tc>
          <w:tcPr>
            <w:tcW w:w="6652" w:type="dxa"/>
            <w:shd w:val="clear" w:color="auto" w:fill="auto"/>
          </w:tcPr>
          <w:p w14:paraId="13701DF9" w14:textId="77777777" w:rsidR="00F20BE4" w:rsidRPr="009C1143" w:rsidRDefault="00D44314" w:rsidP="0088690F">
            <w:pPr>
              <w:spacing w:after="120"/>
              <w:rPr>
                <w:szCs w:val="22"/>
              </w:rPr>
            </w:pPr>
            <w:r w:rsidRPr="009C1143">
              <w:rPr>
                <w:szCs w:val="22"/>
              </w:rPr>
              <w:t xml:space="preserve">Is this report on the </w:t>
            </w:r>
            <w:r>
              <w:rPr>
                <w:b/>
                <w:szCs w:val="22"/>
              </w:rPr>
              <w:t xml:space="preserve">Statutory </w:t>
            </w:r>
            <w:r w:rsidRPr="009C1143">
              <w:rPr>
                <w:b/>
                <w:szCs w:val="22"/>
              </w:rPr>
              <w:t>Cabinet Forward Plan</w:t>
            </w:r>
            <w:r w:rsidRPr="009C1143">
              <w:rPr>
                <w:szCs w:val="22"/>
              </w:rPr>
              <w:t>?</w:t>
            </w:r>
          </w:p>
        </w:tc>
        <w:tc>
          <w:tcPr>
            <w:tcW w:w="1003" w:type="dxa"/>
            <w:shd w:val="clear" w:color="auto" w:fill="auto"/>
          </w:tcPr>
          <w:p w14:paraId="13701DFA" w14:textId="77777777" w:rsidR="00D44314" w:rsidRPr="008A2473" w:rsidRDefault="002C37A6" w:rsidP="00F80A0C">
            <w:pPr>
              <w:rPr>
                <w:szCs w:val="22"/>
              </w:rPr>
            </w:pPr>
            <w:r>
              <w:rPr>
                <w:szCs w:val="22"/>
              </w:rPr>
              <w:t>Yes</w:t>
            </w:r>
          </w:p>
        </w:tc>
      </w:tr>
      <w:tr w:rsidR="00D44314" w:rsidRPr="009C1143" w14:paraId="13701DFE" w14:textId="77777777" w:rsidTr="00582F03">
        <w:tc>
          <w:tcPr>
            <w:tcW w:w="6652" w:type="dxa"/>
            <w:shd w:val="clear" w:color="auto" w:fill="auto"/>
          </w:tcPr>
          <w:p w14:paraId="13701DFC" w14:textId="77777777" w:rsidR="00F20BE4" w:rsidRPr="009C1143" w:rsidRDefault="00D44314" w:rsidP="0088690F">
            <w:pPr>
              <w:spacing w:after="120"/>
              <w:rPr>
                <w:szCs w:val="22"/>
              </w:rPr>
            </w:pPr>
            <w:r w:rsidRPr="009C1143">
              <w:rPr>
                <w:szCs w:val="22"/>
              </w:rPr>
              <w:t>Is the request outside the policy and budgetary framework and therefore subject to confirmation at full Council?</w:t>
            </w:r>
          </w:p>
        </w:tc>
        <w:tc>
          <w:tcPr>
            <w:tcW w:w="1003" w:type="dxa"/>
            <w:shd w:val="clear" w:color="auto" w:fill="auto"/>
          </w:tcPr>
          <w:p w14:paraId="13701DFD" w14:textId="77777777" w:rsidR="00D44314" w:rsidRPr="008A2473" w:rsidRDefault="00D44314" w:rsidP="00F80A0C">
            <w:pPr>
              <w:rPr>
                <w:szCs w:val="22"/>
              </w:rPr>
            </w:pPr>
            <w:r w:rsidRPr="008A2473">
              <w:rPr>
                <w:szCs w:val="22"/>
              </w:rPr>
              <w:t>No</w:t>
            </w:r>
          </w:p>
        </w:tc>
      </w:tr>
      <w:tr w:rsidR="00D44314" w:rsidRPr="009C1143" w14:paraId="13701E01" w14:textId="77777777" w:rsidTr="00582F03">
        <w:tc>
          <w:tcPr>
            <w:tcW w:w="6652" w:type="dxa"/>
            <w:shd w:val="clear" w:color="auto" w:fill="auto"/>
          </w:tcPr>
          <w:p w14:paraId="13701DFF" w14:textId="77777777" w:rsidR="00F20BE4" w:rsidRPr="009C1143" w:rsidRDefault="0088690F" w:rsidP="0088690F">
            <w:pPr>
              <w:spacing w:after="120"/>
              <w:rPr>
                <w:szCs w:val="22"/>
              </w:rPr>
            </w:pPr>
            <w:r>
              <w:rPr>
                <w:szCs w:val="22"/>
              </w:rPr>
              <w:t>Is this report confidential?</w:t>
            </w:r>
          </w:p>
        </w:tc>
        <w:tc>
          <w:tcPr>
            <w:tcW w:w="1003" w:type="dxa"/>
            <w:shd w:val="clear" w:color="auto" w:fill="auto"/>
          </w:tcPr>
          <w:p w14:paraId="13701E00" w14:textId="77777777" w:rsidR="00D44314" w:rsidRPr="008A2473" w:rsidRDefault="00F20BE4" w:rsidP="00F80A0C">
            <w:pPr>
              <w:rPr>
                <w:szCs w:val="22"/>
              </w:rPr>
            </w:pPr>
            <w:r w:rsidRPr="008A2473">
              <w:rPr>
                <w:szCs w:val="22"/>
              </w:rPr>
              <w:t>No</w:t>
            </w:r>
          </w:p>
        </w:tc>
      </w:tr>
    </w:tbl>
    <w:p w14:paraId="13701E02" w14:textId="77777777" w:rsidR="006F48D4" w:rsidRDefault="006F48D4" w:rsidP="00582F03"/>
    <w:p w14:paraId="13701E03" w14:textId="77777777" w:rsidR="006F48D4" w:rsidRDefault="006F48D4" w:rsidP="00582F03">
      <w:pPr>
        <w:pStyle w:val="Heading1"/>
      </w:pPr>
      <w:r w:rsidRPr="009C1143">
        <w:t xml:space="preserve">PURPOSE OF THE REPORT </w:t>
      </w:r>
    </w:p>
    <w:p w14:paraId="13701E04" w14:textId="77777777" w:rsidR="006F48D4" w:rsidRPr="00305BDE" w:rsidRDefault="00017D6A" w:rsidP="00582F03">
      <w:pPr>
        <w:pStyle w:val="ListParagraph"/>
        <w:ind w:left="955"/>
      </w:pPr>
      <w:r w:rsidRPr="00017D6A">
        <w:t>This report provides an update on the Council’s overall financial position</w:t>
      </w:r>
      <w:r>
        <w:t xml:space="preserve"> as </w:t>
      </w:r>
      <w:r w:rsidRPr="00017D6A">
        <w:t xml:space="preserve">at the </w:t>
      </w:r>
      <w:r>
        <w:t xml:space="preserve">end </w:t>
      </w:r>
      <w:r w:rsidRPr="00300113">
        <w:t>of July</w:t>
      </w:r>
      <w:r>
        <w:t xml:space="preserve"> </w:t>
      </w:r>
      <w:r w:rsidR="008A2473">
        <w:t xml:space="preserve">2019, which is </w:t>
      </w:r>
      <w:r>
        <w:t>month 4</w:t>
      </w:r>
      <w:r w:rsidR="008A2473">
        <w:t xml:space="preserve"> of the financial year 2019-20</w:t>
      </w:r>
      <w:r>
        <w:t>.</w:t>
      </w:r>
      <w:r w:rsidRPr="00017D6A">
        <w:t xml:space="preserve">  </w:t>
      </w:r>
      <w:r>
        <w:t xml:space="preserve">The report provides </w:t>
      </w:r>
      <w:r w:rsidRPr="00017D6A">
        <w:t>a forecast of the projected outturn to 31</w:t>
      </w:r>
      <w:r w:rsidRPr="00017D6A">
        <w:rPr>
          <w:vertAlign w:val="superscript"/>
        </w:rPr>
        <w:t>st</w:t>
      </w:r>
      <w:r>
        <w:t xml:space="preserve"> </w:t>
      </w:r>
      <w:r w:rsidRPr="00017D6A">
        <w:t>March 20</w:t>
      </w:r>
      <w:r>
        <w:t>20</w:t>
      </w:r>
      <w:r w:rsidRPr="00017D6A">
        <w:t xml:space="preserve"> compared to the </w:t>
      </w:r>
      <w:r>
        <w:t xml:space="preserve">current </w:t>
      </w:r>
      <w:r w:rsidRPr="00017D6A">
        <w:t xml:space="preserve">approved </w:t>
      </w:r>
      <w:r>
        <w:t>budget</w:t>
      </w:r>
      <w:r w:rsidR="00540D94">
        <w:t xml:space="preserve"> and explains what the differences are and what impact they will have.</w:t>
      </w:r>
    </w:p>
    <w:p w14:paraId="13701E05" w14:textId="77777777" w:rsidR="006F48D4" w:rsidRPr="009C1143" w:rsidRDefault="006F48D4" w:rsidP="00582F03"/>
    <w:p w14:paraId="13701E06" w14:textId="77777777" w:rsidR="006F48D4" w:rsidRDefault="006F48D4" w:rsidP="00582F03">
      <w:pPr>
        <w:pStyle w:val="Heading1"/>
      </w:pPr>
      <w:r>
        <w:t xml:space="preserve">PORTFOLIO </w:t>
      </w:r>
      <w:r w:rsidRPr="009C1143">
        <w:t>RECOMMENDATIONS</w:t>
      </w:r>
    </w:p>
    <w:p w14:paraId="13701E07" w14:textId="77777777" w:rsidR="008A2473" w:rsidRDefault="002C37A6" w:rsidP="00582F03">
      <w:pPr>
        <w:pStyle w:val="ListParagraph"/>
        <w:ind w:left="955"/>
      </w:pPr>
      <w:r>
        <w:t>Cabinet</w:t>
      </w:r>
      <w:r w:rsidR="00017D6A">
        <w:t xml:space="preserve"> notes, reviews and comments on the contents of this report.</w:t>
      </w:r>
    </w:p>
    <w:p w14:paraId="13701E08" w14:textId="77777777" w:rsidR="00834615" w:rsidRPr="00E32BAC" w:rsidRDefault="00834615" w:rsidP="00582F03">
      <w:pPr>
        <w:pStyle w:val="ListParagraph"/>
        <w:ind w:left="955"/>
      </w:pPr>
      <w:r w:rsidRPr="00E32BAC">
        <w:t xml:space="preserve">Cabinet approves </w:t>
      </w:r>
      <w:r w:rsidR="005701ED">
        <w:t xml:space="preserve">a </w:t>
      </w:r>
      <w:r w:rsidR="00283CF8" w:rsidRPr="00E32BAC">
        <w:t xml:space="preserve">virement of </w:t>
      </w:r>
      <w:r w:rsidR="00E32BAC" w:rsidRPr="00E32BAC">
        <w:t xml:space="preserve">the </w:t>
      </w:r>
      <w:r w:rsidR="00540D94">
        <w:t xml:space="preserve">£150,000 </w:t>
      </w:r>
      <w:r w:rsidR="00283CF8" w:rsidRPr="00E32BAC">
        <w:t xml:space="preserve">turnover savings target budget to reflect </w:t>
      </w:r>
      <w:r w:rsidR="00E32BAC" w:rsidRPr="00E32BAC">
        <w:t>staffing</w:t>
      </w:r>
      <w:r w:rsidR="00283CF8" w:rsidRPr="00E32BAC">
        <w:t xml:space="preserve"> savings achieved in the first </w:t>
      </w:r>
      <w:r w:rsidR="00300113" w:rsidRPr="00E32BAC">
        <w:t xml:space="preserve">period </w:t>
      </w:r>
      <w:r w:rsidR="00540D94">
        <w:t xml:space="preserve">up </w:t>
      </w:r>
      <w:r w:rsidR="00300113" w:rsidRPr="00E32BAC">
        <w:t>to</w:t>
      </w:r>
      <w:r w:rsidR="00540D94">
        <w:t xml:space="preserve"> the end of</w:t>
      </w:r>
      <w:r w:rsidR="00300113" w:rsidRPr="00E32BAC">
        <w:t xml:space="preserve"> July</w:t>
      </w:r>
      <w:r w:rsidR="00283CF8" w:rsidRPr="00E32BAC">
        <w:t xml:space="preserve">.  </w:t>
      </w:r>
      <w:r w:rsidRPr="00E32BAC">
        <w:t xml:space="preserve"> </w:t>
      </w:r>
    </w:p>
    <w:p w14:paraId="13701E09" w14:textId="77777777" w:rsidR="006F48D4" w:rsidRPr="00970C70" w:rsidRDefault="006F48D4" w:rsidP="00582F03"/>
    <w:p w14:paraId="13701E0A" w14:textId="77777777" w:rsidR="006F48D4" w:rsidRPr="002C71DE" w:rsidRDefault="006F48D4" w:rsidP="00582F03">
      <w:pPr>
        <w:pStyle w:val="Heading1"/>
      </w:pPr>
      <w:r w:rsidRPr="002C71DE">
        <w:t>REASONS FOR THE DECISION</w:t>
      </w:r>
    </w:p>
    <w:p w14:paraId="13701E0B" w14:textId="77777777" w:rsidR="004834BE" w:rsidRPr="005701ED" w:rsidRDefault="004834BE" w:rsidP="00582F03">
      <w:pPr>
        <w:pStyle w:val="ListParagraph"/>
        <w:ind w:left="955"/>
      </w:pPr>
      <w:r w:rsidRPr="001E5A09">
        <w:t>Robust financial monitoring, including scrutiny and challenging information, is a crucial aspect of running a successful and effective organisation</w:t>
      </w:r>
      <w:r w:rsidR="00D44314" w:rsidRPr="001E5A09">
        <w:t>.</w:t>
      </w:r>
    </w:p>
    <w:p w14:paraId="13701E0C" w14:textId="77777777" w:rsidR="006F48D4" w:rsidRPr="00CC4337" w:rsidRDefault="006F48D4" w:rsidP="00582F03">
      <w:pPr>
        <w:rPr>
          <w:szCs w:val="22"/>
        </w:rPr>
      </w:pPr>
    </w:p>
    <w:p w14:paraId="13701E0D" w14:textId="77777777" w:rsidR="006F48D4" w:rsidRDefault="006F48D4" w:rsidP="00582F03">
      <w:pPr>
        <w:pStyle w:val="Heading1"/>
      </w:pPr>
      <w:r w:rsidRPr="009C1143">
        <w:t>EXECUTIVE SUMMARY</w:t>
      </w:r>
    </w:p>
    <w:p w14:paraId="13701E0E" w14:textId="77777777" w:rsidR="00540D94" w:rsidRDefault="008A4ABD" w:rsidP="00582F03">
      <w:pPr>
        <w:pStyle w:val="ListParagraph"/>
        <w:ind w:left="955"/>
      </w:pPr>
      <w:r>
        <w:t xml:space="preserve">The overall revenue outturn forecast for 2019/20 is a net budget saving of </w:t>
      </w:r>
      <w:r w:rsidR="00E70349">
        <w:t>£681,000</w:t>
      </w:r>
      <w:r w:rsidR="00BC24FA">
        <w:t xml:space="preserve"> which represents a variance of 4.7% of the total net budget requirement</w:t>
      </w:r>
      <w:r>
        <w:t xml:space="preserve">. </w:t>
      </w:r>
      <w:r w:rsidR="003B5FF5">
        <w:t>At this early stage in the year, this is based on actuals to-date and broad assumptions in respect of spend and anticipated levels of income for the remainder of the financial year.</w:t>
      </w:r>
    </w:p>
    <w:p w14:paraId="13701E0F" w14:textId="77777777" w:rsidR="00540D94" w:rsidRDefault="00540D94" w:rsidP="00582F03">
      <w:pPr>
        <w:pStyle w:val="ListParagraph"/>
        <w:ind w:left="955"/>
      </w:pPr>
      <w:r>
        <w:t>Certain</w:t>
      </w:r>
      <w:r w:rsidR="003B5FF5">
        <w:t xml:space="preserve"> income </w:t>
      </w:r>
      <w:r>
        <w:t xml:space="preserve">sources </w:t>
      </w:r>
      <w:r w:rsidR="003B5FF5">
        <w:t xml:space="preserve">can be assessed with </w:t>
      </w:r>
      <w:r>
        <w:t xml:space="preserve">more </w:t>
      </w:r>
      <w:r w:rsidR="003B5FF5">
        <w:t>certainty</w:t>
      </w:r>
      <w:r>
        <w:t>;</w:t>
      </w:r>
      <w:r w:rsidR="003B5FF5">
        <w:t xml:space="preserve"> for example </w:t>
      </w:r>
      <w:r>
        <w:t xml:space="preserve">with </w:t>
      </w:r>
      <w:r w:rsidR="003B5FF5">
        <w:t xml:space="preserve">Garden Waste and Trade Waste charges the majority of the income is received early in the financial year. </w:t>
      </w:r>
      <w:r>
        <w:t xml:space="preserve"> </w:t>
      </w:r>
      <w:r w:rsidR="003B5FF5">
        <w:t xml:space="preserve">Other income is more volatile and </w:t>
      </w:r>
      <w:r>
        <w:t xml:space="preserve">therefore </w:t>
      </w:r>
      <w:r w:rsidR="003B5FF5">
        <w:t xml:space="preserve">the forecasts are </w:t>
      </w:r>
      <w:r>
        <w:t>more likely to need</w:t>
      </w:r>
      <w:r w:rsidR="003B5FF5">
        <w:t xml:space="preserve"> revis</w:t>
      </w:r>
      <w:r>
        <w:t>ing</w:t>
      </w:r>
      <w:r w:rsidR="003B5FF5">
        <w:t xml:space="preserve"> </w:t>
      </w:r>
      <w:r>
        <w:t>as</w:t>
      </w:r>
      <w:r w:rsidR="003B5FF5">
        <w:t xml:space="preserve"> the year</w:t>
      </w:r>
      <w:r>
        <w:t xml:space="preserve"> progresses</w:t>
      </w:r>
      <w:r w:rsidR="003B5FF5">
        <w:t>.</w:t>
      </w:r>
    </w:p>
    <w:p w14:paraId="13701E10" w14:textId="77777777" w:rsidR="00540D94" w:rsidRDefault="003B5FF5" w:rsidP="00582F03">
      <w:pPr>
        <w:pStyle w:val="ListParagraph"/>
        <w:ind w:left="955"/>
      </w:pPr>
      <w:r>
        <w:lastRenderedPageBreak/>
        <w:t xml:space="preserve">In the staffing cost forecasts, assumptions have been made in relation to the timing of recruitment to posts which are currently </w:t>
      </w:r>
      <w:r w:rsidR="00540D94">
        <w:t>vacant.</w:t>
      </w:r>
    </w:p>
    <w:p w14:paraId="13701E11" w14:textId="77777777" w:rsidR="006F48D4" w:rsidRDefault="00EC3627" w:rsidP="00582F03">
      <w:pPr>
        <w:pStyle w:val="ListParagraph"/>
        <w:ind w:left="955"/>
      </w:pPr>
      <w:r>
        <w:t xml:space="preserve">The forecast variance of </w:t>
      </w:r>
      <w:r w:rsidR="00540D94">
        <w:t xml:space="preserve">a </w:t>
      </w:r>
      <w:r w:rsidR="00E70349">
        <w:t>£681,000</w:t>
      </w:r>
      <w:r>
        <w:t xml:space="preserve"> </w:t>
      </w:r>
      <w:r w:rsidR="00540D94">
        <w:t>surplus comprises</w:t>
      </w:r>
      <w:r w:rsidR="008A4ABD">
        <w:t xml:space="preserve"> the following main items:</w:t>
      </w:r>
    </w:p>
    <w:p w14:paraId="13701E12" w14:textId="77777777" w:rsidR="00EC3627" w:rsidRDefault="003B5FF5" w:rsidP="00582F03">
      <w:pPr>
        <w:pStyle w:val="ListParagraph"/>
        <w:numPr>
          <w:ilvl w:val="1"/>
          <w:numId w:val="5"/>
        </w:numPr>
        <w:spacing w:after="0"/>
        <w:ind w:left="1321" w:hanging="357"/>
      </w:pPr>
      <w:r>
        <w:t>Forecast savings in staffing costs £</w:t>
      </w:r>
      <w:r w:rsidR="008B1229">
        <w:t>476</w:t>
      </w:r>
      <w:r>
        <w:t>,000</w:t>
      </w:r>
      <w:r w:rsidR="00EC3627">
        <w:t>, partly offset by £150,000 turnover target</w:t>
      </w:r>
    </w:p>
    <w:p w14:paraId="13701E13" w14:textId="77777777" w:rsidR="008A4ABD" w:rsidRDefault="00EC3627" w:rsidP="00582F03">
      <w:pPr>
        <w:pStyle w:val="ListParagraph"/>
        <w:numPr>
          <w:ilvl w:val="1"/>
          <w:numId w:val="5"/>
        </w:numPr>
        <w:spacing w:after="0"/>
        <w:ind w:left="1321" w:hanging="357"/>
      </w:pPr>
      <w:r>
        <w:t xml:space="preserve">Increase in </w:t>
      </w:r>
      <w:r w:rsidR="00871E49">
        <w:t>i</w:t>
      </w:r>
      <w:r>
        <w:t>ncome</w:t>
      </w:r>
      <w:r w:rsidR="00871E49">
        <w:t xml:space="preserve"> forecast including</w:t>
      </w:r>
      <w:r>
        <w:t xml:space="preserve"> Garden Waste £135,000</w:t>
      </w:r>
      <w:r w:rsidR="00871E49">
        <w:t xml:space="preserve"> and Investment interest £80,000</w:t>
      </w:r>
    </w:p>
    <w:p w14:paraId="13701E14" w14:textId="77777777" w:rsidR="00BC24FA" w:rsidRDefault="00BC24FA" w:rsidP="00582F03">
      <w:pPr>
        <w:pStyle w:val="ListParagraph"/>
        <w:numPr>
          <w:ilvl w:val="1"/>
          <w:numId w:val="5"/>
        </w:numPr>
        <w:spacing w:after="0"/>
        <w:ind w:left="1321" w:hanging="357"/>
      </w:pPr>
      <w:r>
        <w:t xml:space="preserve">New income generated from vehicle maintenance contract £120,000; offset by additional staff costs £50,000; net increase in income £70,000      </w:t>
      </w:r>
    </w:p>
    <w:p w14:paraId="13701E15" w14:textId="77777777" w:rsidR="00F1759C" w:rsidRDefault="008B1229" w:rsidP="00582F03">
      <w:pPr>
        <w:pStyle w:val="ListParagraph"/>
        <w:numPr>
          <w:ilvl w:val="1"/>
          <w:numId w:val="5"/>
        </w:numPr>
        <w:spacing w:after="0"/>
        <w:ind w:left="1321" w:hanging="357"/>
      </w:pPr>
      <w:r>
        <w:t>Increase in business rates compensatory grant funding (S31 grant) £280,000</w:t>
      </w:r>
    </w:p>
    <w:p w14:paraId="13701E16" w14:textId="77777777" w:rsidR="00CF7BF8" w:rsidRDefault="008B1229" w:rsidP="00582F03">
      <w:pPr>
        <w:pStyle w:val="ListParagraph"/>
        <w:numPr>
          <w:ilvl w:val="1"/>
          <w:numId w:val="5"/>
        </w:numPr>
        <w:spacing w:after="0"/>
        <w:ind w:left="1321" w:hanging="357"/>
      </w:pPr>
      <w:r>
        <w:t>Offset by</w:t>
      </w:r>
      <w:r w:rsidR="00F1759C">
        <w:t>:</w:t>
      </w:r>
      <w:r w:rsidR="003702F5">
        <w:t xml:space="preserve"> a net cost of £10</w:t>
      </w:r>
      <w:r w:rsidR="007F78C1">
        <w:t>8</w:t>
      </w:r>
      <w:r w:rsidR="003702F5">
        <w:t xml:space="preserve">,000 </w:t>
      </w:r>
      <w:r w:rsidR="00F1759C">
        <w:t xml:space="preserve">in relation to </w:t>
      </w:r>
      <w:r w:rsidR="003702F5">
        <w:t>the w</w:t>
      </w:r>
      <w:r>
        <w:t xml:space="preserve">aste contract </w:t>
      </w:r>
    </w:p>
    <w:p w14:paraId="13701E17" w14:textId="77777777" w:rsidR="00F1759C" w:rsidRDefault="00F1759C" w:rsidP="00582F03">
      <w:pPr>
        <w:ind w:left="607"/>
      </w:pPr>
    </w:p>
    <w:p w14:paraId="13701E18" w14:textId="77777777" w:rsidR="00CF7BF8" w:rsidRDefault="00CF7BF8" w:rsidP="00582F03">
      <w:pPr>
        <w:pStyle w:val="ListParagraph"/>
        <w:ind w:left="955"/>
      </w:pPr>
      <w:r>
        <w:t xml:space="preserve">The Capital budgets have been updated to reflect both the approved slippage from 2018/19 and committee approval for schemes during the year to-date to reflect the current available budget. </w:t>
      </w:r>
      <w:r w:rsidR="00540D94">
        <w:t xml:space="preserve"> </w:t>
      </w:r>
      <w:r>
        <w:t xml:space="preserve">The current capital budgets have been reviewed to establish the forecast outturn expenditure and any re-phasing of schemes into future years. </w:t>
      </w:r>
      <w:r w:rsidR="003069B5">
        <w:t xml:space="preserve"> </w:t>
      </w:r>
      <w:r w:rsidR="00906FB1">
        <w:t>The total capital budget forecast for 2019/</w:t>
      </w:r>
      <w:r w:rsidR="00906FB1" w:rsidRPr="003069B5">
        <w:t xml:space="preserve">20 is </w:t>
      </w:r>
      <w:r w:rsidR="00906FB1" w:rsidRPr="00AB6767">
        <w:t>£</w:t>
      </w:r>
      <w:r w:rsidR="00AB6767" w:rsidRPr="00AB6767">
        <w:t>14,939,000</w:t>
      </w:r>
      <w:r w:rsidR="00CB2A6D">
        <w:t>,</w:t>
      </w:r>
      <w:r w:rsidR="00906FB1" w:rsidRPr="00AB6767">
        <w:t xml:space="preserve"> with £</w:t>
      </w:r>
      <w:r w:rsidR="00CB2A6D">
        <w:t>1</w:t>
      </w:r>
      <w:r w:rsidR="003069B5" w:rsidRPr="00AB6767">
        <w:t>,</w:t>
      </w:r>
      <w:r w:rsidR="00CB2A6D">
        <w:t>986</w:t>
      </w:r>
      <w:r w:rsidR="003069B5" w:rsidRPr="00AB6767">
        <w:t>,000</w:t>
      </w:r>
      <w:r w:rsidR="00906FB1" w:rsidRPr="00AB6767">
        <w:t xml:space="preserve"> </w:t>
      </w:r>
      <w:r w:rsidR="00AB6767">
        <w:t xml:space="preserve">potential </w:t>
      </w:r>
      <w:r w:rsidR="00906FB1" w:rsidRPr="00AB6767">
        <w:t>slippage</w:t>
      </w:r>
      <w:r w:rsidR="00906FB1" w:rsidRPr="003069B5">
        <w:t xml:space="preserve"> </w:t>
      </w:r>
      <w:r w:rsidR="00906FB1">
        <w:t>identified at this stage in the year.</w:t>
      </w:r>
      <w:r w:rsidR="00AB6767">
        <w:t xml:space="preserve"> </w:t>
      </w:r>
      <w:r w:rsidR="005864F4">
        <w:t xml:space="preserve"> </w:t>
      </w:r>
      <w:r w:rsidR="0009059F">
        <w:t>Further details are provided in the body of the report and Appendix A (attached).</w:t>
      </w:r>
    </w:p>
    <w:p w14:paraId="13701E19" w14:textId="77777777" w:rsidR="008B1229" w:rsidRPr="00970C70" w:rsidRDefault="008B1229" w:rsidP="00582F03">
      <w:pPr>
        <w:ind w:left="964"/>
      </w:pPr>
    </w:p>
    <w:p w14:paraId="13701E1A" w14:textId="77777777" w:rsidR="006F48D4" w:rsidRDefault="006F48D4" w:rsidP="00582F03">
      <w:pPr>
        <w:pStyle w:val="Heading1"/>
      </w:pPr>
      <w:r w:rsidRPr="008C04DA">
        <w:t>CORPORATE PRIORITIES</w:t>
      </w:r>
    </w:p>
    <w:p w14:paraId="13701E1B" w14:textId="77777777" w:rsidR="006F48D4" w:rsidRPr="00305BDE" w:rsidRDefault="006F48D4" w:rsidP="00582F03">
      <w:pPr>
        <w:pStyle w:val="ListParagraph"/>
        <w:ind w:left="955"/>
      </w:pPr>
      <w:r w:rsidRPr="00305BDE">
        <w:t>The report relates to the following corporate priorities: (tick all those applicable):</w:t>
      </w:r>
    </w:p>
    <w:tbl>
      <w:tblPr>
        <w:tblW w:w="527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6F48D4" w:rsidRPr="008770BE" w14:paraId="13701E1E" w14:textId="77777777" w:rsidTr="00582F03">
        <w:tc>
          <w:tcPr>
            <w:tcW w:w="4423" w:type="dxa"/>
            <w:shd w:val="clear" w:color="auto" w:fill="auto"/>
          </w:tcPr>
          <w:p w14:paraId="13701E1C" w14:textId="77777777" w:rsidR="006F48D4" w:rsidRPr="000828CC" w:rsidRDefault="006F48D4" w:rsidP="00F80A0C">
            <w:pPr>
              <w:rPr>
                <w:szCs w:val="22"/>
              </w:rPr>
            </w:pPr>
            <w:r w:rsidRPr="000828CC">
              <w:rPr>
                <w:szCs w:val="22"/>
              </w:rPr>
              <w:t>Excellence and Financial Sustainability</w:t>
            </w:r>
          </w:p>
        </w:tc>
        <w:tc>
          <w:tcPr>
            <w:tcW w:w="850" w:type="dxa"/>
            <w:shd w:val="clear" w:color="auto" w:fill="auto"/>
          </w:tcPr>
          <w:p w14:paraId="13701E1D" w14:textId="77777777" w:rsidR="006F48D4" w:rsidRPr="00305BDE" w:rsidRDefault="00300113" w:rsidP="00CA70B1">
            <w:pPr>
              <w:jc w:val="center"/>
              <w:rPr>
                <w:szCs w:val="22"/>
              </w:rPr>
            </w:pPr>
            <w:r>
              <w:rPr>
                <w:szCs w:val="22"/>
              </w:rPr>
              <w:sym w:font="Wingdings 2" w:char="F050"/>
            </w:r>
          </w:p>
        </w:tc>
      </w:tr>
      <w:tr w:rsidR="006F48D4" w:rsidRPr="008770BE" w14:paraId="13701E21" w14:textId="77777777" w:rsidTr="00582F03">
        <w:tc>
          <w:tcPr>
            <w:tcW w:w="4423" w:type="dxa"/>
            <w:shd w:val="clear" w:color="auto" w:fill="auto"/>
          </w:tcPr>
          <w:p w14:paraId="13701E1F" w14:textId="77777777" w:rsidR="006F48D4" w:rsidRPr="000828CC" w:rsidRDefault="006F48D4" w:rsidP="00F80A0C">
            <w:pPr>
              <w:rPr>
                <w:szCs w:val="22"/>
              </w:rPr>
            </w:pPr>
            <w:r w:rsidRPr="000828CC">
              <w:rPr>
                <w:szCs w:val="22"/>
              </w:rPr>
              <w:t>Health and Wellbeing</w:t>
            </w:r>
          </w:p>
        </w:tc>
        <w:tc>
          <w:tcPr>
            <w:tcW w:w="850" w:type="dxa"/>
            <w:shd w:val="clear" w:color="auto" w:fill="auto"/>
          </w:tcPr>
          <w:p w14:paraId="13701E20" w14:textId="77777777" w:rsidR="006F48D4" w:rsidRPr="00305BDE" w:rsidRDefault="006F48D4" w:rsidP="00CA70B1">
            <w:pPr>
              <w:jc w:val="center"/>
              <w:rPr>
                <w:szCs w:val="22"/>
              </w:rPr>
            </w:pPr>
          </w:p>
        </w:tc>
      </w:tr>
      <w:tr w:rsidR="006F48D4" w:rsidRPr="009C1143" w14:paraId="13701E24" w14:textId="77777777" w:rsidTr="00582F03">
        <w:tc>
          <w:tcPr>
            <w:tcW w:w="4423" w:type="dxa"/>
            <w:shd w:val="clear" w:color="auto" w:fill="auto"/>
          </w:tcPr>
          <w:p w14:paraId="13701E22" w14:textId="77777777" w:rsidR="006F48D4" w:rsidRPr="000828CC" w:rsidRDefault="006F48D4" w:rsidP="00F80A0C">
            <w:pPr>
              <w:rPr>
                <w:szCs w:val="22"/>
              </w:rPr>
            </w:pPr>
            <w:r w:rsidRPr="000828CC">
              <w:rPr>
                <w:szCs w:val="22"/>
              </w:rPr>
              <w:t>Place</w:t>
            </w:r>
          </w:p>
        </w:tc>
        <w:tc>
          <w:tcPr>
            <w:tcW w:w="850" w:type="dxa"/>
            <w:shd w:val="clear" w:color="auto" w:fill="auto"/>
          </w:tcPr>
          <w:p w14:paraId="13701E23" w14:textId="77777777" w:rsidR="006F48D4" w:rsidRPr="00305BDE" w:rsidRDefault="006F48D4" w:rsidP="00CA70B1">
            <w:pPr>
              <w:jc w:val="center"/>
              <w:rPr>
                <w:szCs w:val="22"/>
              </w:rPr>
            </w:pPr>
          </w:p>
        </w:tc>
      </w:tr>
    </w:tbl>
    <w:p w14:paraId="13701E25" w14:textId="77777777" w:rsidR="006F48D4" w:rsidRDefault="006F48D4" w:rsidP="00582F03"/>
    <w:p w14:paraId="13701E26" w14:textId="77777777" w:rsidR="006F48D4" w:rsidRDefault="006F48D4" w:rsidP="00582F03">
      <w:pPr>
        <w:ind w:firstLine="720"/>
      </w:pPr>
      <w:r>
        <w:t>Projects relating to People in the Corporate Plan:</w:t>
      </w:r>
    </w:p>
    <w:tbl>
      <w:tblPr>
        <w:tblW w:w="527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6F48D4" w:rsidRPr="009C1143" w14:paraId="13701E29" w14:textId="77777777" w:rsidTr="00582F03">
        <w:tc>
          <w:tcPr>
            <w:tcW w:w="4423" w:type="dxa"/>
            <w:shd w:val="clear" w:color="auto" w:fill="auto"/>
          </w:tcPr>
          <w:p w14:paraId="13701E27" w14:textId="77777777" w:rsidR="006F48D4" w:rsidRPr="000828CC" w:rsidRDefault="006F48D4" w:rsidP="00F80A0C">
            <w:pPr>
              <w:rPr>
                <w:szCs w:val="22"/>
              </w:rPr>
            </w:pPr>
            <w:r>
              <w:rPr>
                <w:szCs w:val="22"/>
              </w:rPr>
              <w:t xml:space="preserve">People </w:t>
            </w:r>
          </w:p>
        </w:tc>
        <w:tc>
          <w:tcPr>
            <w:tcW w:w="850" w:type="dxa"/>
            <w:shd w:val="clear" w:color="auto" w:fill="auto"/>
          </w:tcPr>
          <w:p w14:paraId="13701E28" w14:textId="77777777" w:rsidR="006F48D4" w:rsidRPr="009C1143" w:rsidRDefault="006F48D4" w:rsidP="00CA70B1">
            <w:pPr>
              <w:jc w:val="center"/>
              <w:rPr>
                <w:szCs w:val="22"/>
              </w:rPr>
            </w:pPr>
          </w:p>
        </w:tc>
      </w:tr>
    </w:tbl>
    <w:p w14:paraId="13701E2A" w14:textId="77777777" w:rsidR="006F48D4" w:rsidRDefault="006F48D4" w:rsidP="00582F03"/>
    <w:p w14:paraId="13701E2B" w14:textId="77777777" w:rsidR="005C3FD7" w:rsidRPr="008C04DA" w:rsidRDefault="005C3FD7" w:rsidP="00582F03"/>
    <w:p w14:paraId="13701E2C" w14:textId="77777777" w:rsidR="006F48D4" w:rsidRDefault="006F48D4" w:rsidP="00582F03">
      <w:pPr>
        <w:pStyle w:val="Heading1"/>
      </w:pPr>
      <w:r w:rsidRPr="008C04DA">
        <w:t>BACKGROUND TO THE REPORT</w:t>
      </w:r>
    </w:p>
    <w:p w14:paraId="13701E2D" w14:textId="77777777" w:rsidR="007F100A" w:rsidRPr="007F100A" w:rsidRDefault="007F100A" w:rsidP="00582F03">
      <w:pPr>
        <w:pStyle w:val="ListParagraph"/>
        <w:ind w:left="955"/>
        <w:rPr>
          <w:b/>
        </w:rPr>
      </w:pPr>
      <w:r>
        <w:t xml:space="preserve">The 2019/20 budget and Medium term Financial Strategy (MTFS) 2019/20 to 2022/23 was approved by full </w:t>
      </w:r>
      <w:r w:rsidR="00E70349">
        <w:t>C</w:t>
      </w:r>
      <w:r>
        <w:t>ouncil on 27</w:t>
      </w:r>
      <w:r w:rsidRPr="007F100A">
        <w:rPr>
          <w:vertAlign w:val="superscript"/>
        </w:rPr>
        <w:t>th</w:t>
      </w:r>
      <w:r>
        <w:t xml:space="preserve"> February 2019.</w:t>
      </w:r>
    </w:p>
    <w:p w14:paraId="13701E2E" w14:textId="77777777" w:rsidR="00EC78CC" w:rsidRPr="00EC78CC" w:rsidRDefault="007F100A" w:rsidP="00582F03">
      <w:pPr>
        <w:pStyle w:val="ListParagraph"/>
        <w:ind w:left="955"/>
        <w:rPr>
          <w:b/>
        </w:rPr>
      </w:pPr>
      <w:r>
        <w:t xml:space="preserve">The </w:t>
      </w:r>
      <w:r w:rsidR="004F4F9C">
        <w:t xml:space="preserve">net cost of services revenue </w:t>
      </w:r>
      <w:r>
        <w:t xml:space="preserve">budget </w:t>
      </w:r>
      <w:r w:rsidR="004F4F9C">
        <w:t>was £14,484,000</w:t>
      </w:r>
      <w:r w:rsidR="006F48D4" w:rsidRPr="002C71DE">
        <w:t>.</w:t>
      </w:r>
      <w:r w:rsidR="00EC78CC">
        <w:t xml:space="preserve">  An increase of 1.99% in Council Tax was approved, with a budget income figure of £153,000.  After applying other sources of funding as well, there was an overall surplus of £716,000 </w:t>
      </w:r>
      <w:r w:rsidR="00D441E9">
        <w:t xml:space="preserve">that was </w:t>
      </w:r>
      <w:r w:rsidR="00EC78CC">
        <w:t>budgeted to be transferred back into the capital funding reserve to help fund the sizeable capital programme.</w:t>
      </w:r>
    </w:p>
    <w:p w14:paraId="13701E2F" w14:textId="77777777" w:rsidR="00EC78CC" w:rsidRPr="00EC78CC" w:rsidRDefault="00EC78CC" w:rsidP="00582F03">
      <w:pPr>
        <w:pStyle w:val="ListParagraph"/>
        <w:ind w:left="955"/>
      </w:pPr>
      <w:r w:rsidRPr="00EC78CC">
        <w:t>The capital</w:t>
      </w:r>
      <w:r>
        <w:t xml:space="preserve"> programme totalled £41,383,000 over the next 4 </w:t>
      </w:r>
      <w:r w:rsidR="007F100A">
        <w:t xml:space="preserve">financial </w:t>
      </w:r>
      <w:r>
        <w:t>years, with a total budget of £12,908,000 in 2019/20.</w:t>
      </w:r>
    </w:p>
    <w:p w14:paraId="13701E30" w14:textId="77777777" w:rsidR="005701ED" w:rsidRDefault="005701ED" w:rsidP="00582F03">
      <w:pPr>
        <w:spacing w:after="160" w:line="259" w:lineRule="auto"/>
        <w:jc w:val="left"/>
        <w:rPr>
          <w:b/>
          <w:caps/>
        </w:rPr>
      </w:pPr>
      <w:r>
        <w:br w:type="page"/>
      </w:r>
    </w:p>
    <w:p w14:paraId="13701E31" w14:textId="77777777" w:rsidR="006F48D4" w:rsidRDefault="006F48D4" w:rsidP="00582F03">
      <w:pPr>
        <w:pStyle w:val="Heading1"/>
      </w:pPr>
      <w:r w:rsidRPr="008C04DA">
        <w:lastRenderedPageBreak/>
        <w:t xml:space="preserve">PROPOSALS </w:t>
      </w:r>
    </w:p>
    <w:p w14:paraId="13701E32" w14:textId="77777777" w:rsidR="006F48D4" w:rsidRPr="00594ED5" w:rsidRDefault="00594ED5" w:rsidP="00582F03">
      <w:pPr>
        <w:pStyle w:val="Heading2"/>
        <w:ind w:left="601"/>
      </w:pPr>
      <w:r w:rsidRPr="00594ED5">
        <w:t>Revenue Summary</w:t>
      </w:r>
    </w:p>
    <w:p w14:paraId="13701E33" w14:textId="77777777" w:rsidR="00A747C0" w:rsidRDefault="00D441E9" w:rsidP="00582F03">
      <w:pPr>
        <w:pStyle w:val="ListParagraph"/>
        <w:ind w:left="955"/>
      </w:pPr>
      <w:r w:rsidRPr="00D441E9">
        <w:t>Table 1 summarises</w:t>
      </w:r>
      <w:r>
        <w:t xml:space="preserve"> by directorate</w:t>
      </w:r>
      <w:r w:rsidRPr="00D441E9">
        <w:t xml:space="preserve"> the revenue budget variation</w:t>
      </w:r>
      <w:r>
        <w:t>s that</w:t>
      </w:r>
      <w:r w:rsidRPr="00D441E9">
        <w:t xml:space="preserve"> are expected </w:t>
      </w:r>
      <w:r>
        <w:t xml:space="preserve">to </w:t>
      </w:r>
      <w:r w:rsidRPr="00D441E9">
        <w:t>impact on the outturn position at 31</w:t>
      </w:r>
      <w:r w:rsidRPr="00D441E9">
        <w:rPr>
          <w:vertAlign w:val="superscript"/>
        </w:rPr>
        <w:t>st</w:t>
      </w:r>
      <w:r>
        <w:t xml:space="preserve"> March 2020</w:t>
      </w:r>
      <w:r w:rsidRPr="00D441E9">
        <w:t>.</w:t>
      </w:r>
      <w:r>
        <w:t xml:space="preserve">  The overall forecast is a surplus, compared to the budget, of </w:t>
      </w:r>
      <w:r w:rsidR="00E70349">
        <w:t>£681,000</w:t>
      </w:r>
      <w:r>
        <w:t xml:space="preserve">.  If this surplus was transferred to reserves at the end of the year, which </w:t>
      </w:r>
      <w:r w:rsidR="001D628B">
        <w:t>would be</w:t>
      </w:r>
      <w:r>
        <w:t xml:space="preserve"> the default action if no further spending plans </w:t>
      </w:r>
      <w:r w:rsidR="001D628B">
        <w:t>we</w:t>
      </w:r>
      <w:r>
        <w:t xml:space="preserve">re approved, then the total contribution to reserves would increase </w:t>
      </w:r>
      <w:r w:rsidR="008B1229">
        <w:t xml:space="preserve">from £550,000 </w:t>
      </w:r>
      <w:r>
        <w:t xml:space="preserve">to </w:t>
      </w:r>
      <w:r w:rsidRPr="008B1229">
        <w:t>£</w:t>
      </w:r>
      <w:r w:rsidR="008B1229" w:rsidRPr="008B1229">
        <w:t>1,</w:t>
      </w:r>
      <w:r w:rsidR="00E70349">
        <w:t>2</w:t>
      </w:r>
      <w:r w:rsidR="00BC24FA">
        <w:t>3</w:t>
      </w:r>
      <w:r w:rsidR="00967FCA">
        <w:t>1</w:t>
      </w:r>
      <w:r w:rsidR="008B1229" w:rsidRPr="008B1229">
        <w:t>,000.</w:t>
      </w:r>
    </w:p>
    <w:p w14:paraId="13701E34" w14:textId="77777777" w:rsidR="00594ED5" w:rsidRDefault="00A747C0" w:rsidP="00582F03">
      <w:pPr>
        <w:pStyle w:val="ListParagraph"/>
        <w:ind w:left="955"/>
      </w:pPr>
      <w:r>
        <w:t>Table 2 lists the main variances within particular service areas that affect the forecast.</w:t>
      </w:r>
    </w:p>
    <w:p w14:paraId="13701E35" w14:textId="77777777" w:rsidR="00E753DA" w:rsidRPr="00212248" w:rsidRDefault="00212248" w:rsidP="00582F03">
      <w:pPr>
        <w:pStyle w:val="Heading3"/>
      </w:pPr>
      <w:r w:rsidRPr="00212248">
        <w:t>T</w:t>
      </w:r>
      <w:r w:rsidR="00E753DA" w:rsidRPr="00212248">
        <w:t xml:space="preserve">able 1: </w:t>
      </w:r>
      <w:r w:rsidR="00A67602" w:rsidRPr="00212248">
        <w:t>Revenue Budget Summary</w:t>
      </w:r>
    </w:p>
    <w:p w14:paraId="13701E36" w14:textId="77777777" w:rsidR="00DC15C2" w:rsidRPr="00212248" w:rsidRDefault="00DC15C2" w:rsidP="00582F03">
      <w:pPr>
        <w:ind w:left="2767"/>
        <w:rPr>
          <w:b/>
        </w:rPr>
      </w:pPr>
    </w:p>
    <w:tbl>
      <w:tblPr>
        <w:tblW w:w="9112" w:type="dxa"/>
        <w:tblInd w:w="30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3733"/>
        <w:gridCol w:w="1793"/>
        <w:gridCol w:w="1793"/>
        <w:gridCol w:w="1793"/>
      </w:tblGrid>
      <w:tr w:rsidR="00E753DA" w:rsidRPr="0088690F" w14:paraId="13701E40" w14:textId="77777777" w:rsidTr="00582F03">
        <w:trPr>
          <w:trHeight w:val="397"/>
        </w:trPr>
        <w:tc>
          <w:tcPr>
            <w:tcW w:w="3733" w:type="dxa"/>
            <w:tcBorders>
              <w:top w:val="single" w:sz="4" w:space="0" w:color="auto"/>
              <w:bottom w:val="single" w:sz="4" w:space="0" w:color="auto"/>
              <w:right w:val="nil"/>
            </w:tcBorders>
            <w:shd w:val="clear" w:color="auto" w:fill="D9D9D9"/>
          </w:tcPr>
          <w:p w14:paraId="13701E37" w14:textId="77777777" w:rsidR="00E753DA" w:rsidRPr="008B1229" w:rsidRDefault="00E753DA" w:rsidP="0088690F">
            <w:pPr>
              <w:jc w:val="left"/>
              <w:rPr>
                <w:b/>
              </w:rPr>
            </w:pPr>
            <w:r w:rsidRPr="008B1229">
              <w:rPr>
                <w:b/>
              </w:rPr>
              <w:t>Directorate</w:t>
            </w:r>
          </w:p>
        </w:tc>
        <w:tc>
          <w:tcPr>
            <w:tcW w:w="1793" w:type="dxa"/>
            <w:tcBorders>
              <w:top w:val="single" w:sz="4" w:space="0" w:color="auto"/>
              <w:left w:val="nil"/>
              <w:bottom w:val="single" w:sz="4" w:space="0" w:color="auto"/>
              <w:right w:val="nil"/>
            </w:tcBorders>
            <w:shd w:val="clear" w:color="auto" w:fill="D9D9D9"/>
          </w:tcPr>
          <w:p w14:paraId="13701E38" w14:textId="77777777" w:rsidR="00E753DA" w:rsidRPr="008B1229" w:rsidRDefault="00E753DA" w:rsidP="00F80A0C">
            <w:pPr>
              <w:jc w:val="center"/>
              <w:rPr>
                <w:b/>
              </w:rPr>
            </w:pPr>
            <w:r w:rsidRPr="008B1229">
              <w:rPr>
                <w:b/>
              </w:rPr>
              <w:t>Full Year</w:t>
            </w:r>
          </w:p>
          <w:p w14:paraId="13701E39" w14:textId="77777777" w:rsidR="00E753DA" w:rsidRPr="008B1229" w:rsidRDefault="0088690F" w:rsidP="00F80A0C">
            <w:pPr>
              <w:jc w:val="center"/>
              <w:rPr>
                <w:b/>
              </w:rPr>
            </w:pPr>
            <w:r w:rsidRPr="008B1229">
              <w:rPr>
                <w:b/>
              </w:rPr>
              <w:t>Budget</w:t>
            </w:r>
          </w:p>
          <w:p w14:paraId="13701E3A" w14:textId="77777777" w:rsidR="0088690F" w:rsidRPr="008B1229" w:rsidRDefault="0088690F" w:rsidP="00F80A0C">
            <w:pPr>
              <w:jc w:val="center"/>
              <w:rPr>
                <w:b/>
              </w:rPr>
            </w:pPr>
            <w:r w:rsidRPr="008B1229">
              <w:rPr>
                <w:b/>
              </w:rPr>
              <w:t>£’000</w:t>
            </w:r>
          </w:p>
        </w:tc>
        <w:tc>
          <w:tcPr>
            <w:tcW w:w="1793" w:type="dxa"/>
            <w:tcBorders>
              <w:top w:val="single" w:sz="4" w:space="0" w:color="auto"/>
              <w:left w:val="nil"/>
              <w:bottom w:val="single" w:sz="4" w:space="0" w:color="auto"/>
              <w:right w:val="nil"/>
            </w:tcBorders>
            <w:shd w:val="clear" w:color="auto" w:fill="D9D9D9"/>
          </w:tcPr>
          <w:p w14:paraId="13701E3B" w14:textId="77777777" w:rsidR="00E753DA" w:rsidRPr="008B1229" w:rsidRDefault="002C4A0A" w:rsidP="00F80A0C">
            <w:pPr>
              <w:jc w:val="center"/>
              <w:rPr>
                <w:b/>
              </w:rPr>
            </w:pPr>
            <w:r w:rsidRPr="008B1229">
              <w:rPr>
                <w:b/>
              </w:rPr>
              <w:t>Forecast</w:t>
            </w:r>
          </w:p>
          <w:p w14:paraId="13701E3C" w14:textId="77777777" w:rsidR="00E753DA" w:rsidRPr="008B1229" w:rsidRDefault="00E753DA" w:rsidP="00F80A0C">
            <w:pPr>
              <w:jc w:val="center"/>
              <w:rPr>
                <w:b/>
              </w:rPr>
            </w:pPr>
            <w:r w:rsidRPr="008B1229">
              <w:rPr>
                <w:b/>
              </w:rPr>
              <w:t>Variances</w:t>
            </w:r>
          </w:p>
          <w:p w14:paraId="13701E3D" w14:textId="77777777" w:rsidR="0088690F" w:rsidRPr="008B1229" w:rsidRDefault="0088690F" w:rsidP="00F80A0C">
            <w:pPr>
              <w:jc w:val="center"/>
              <w:rPr>
                <w:b/>
              </w:rPr>
            </w:pPr>
            <w:r w:rsidRPr="008B1229">
              <w:rPr>
                <w:b/>
              </w:rPr>
              <w:t>£’000</w:t>
            </w:r>
          </w:p>
        </w:tc>
        <w:tc>
          <w:tcPr>
            <w:tcW w:w="1793" w:type="dxa"/>
            <w:tcBorders>
              <w:top w:val="single" w:sz="4" w:space="0" w:color="auto"/>
              <w:left w:val="nil"/>
              <w:bottom w:val="single" w:sz="4" w:space="0" w:color="auto"/>
            </w:tcBorders>
            <w:shd w:val="clear" w:color="auto" w:fill="D9D9D9"/>
          </w:tcPr>
          <w:p w14:paraId="13701E3E" w14:textId="77777777" w:rsidR="00E753DA" w:rsidRPr="008B1229" w:rsidRDefault="002C4A0A" w:rsidP="00E753DA">
            <w:pPr>
              <w:jc w:val="center"/>
              <w:rPr>
                <w:b/>
              </w:rPr>
            </w:pPr>
            <w:r w:rsidRPr="008B1229">
              <w:rPr>
                <w:b/>
              </w:rPr>
              <w:t xml:space="preserve">Forecast </w:t>
            </w:r>
            <w:r w:rsidR="00E753DA" w:rsidRPr="008B1229">
              <w:rPr>
                <w:b/>
              </w:rPr>
              <w:t>Outturn</w:t>
            </w:r>
          </w:p>
          <w:p w14:paraId="13701E3F" w14:textId="77777777" w:rsidR="0088690F" w:rsidRPr="008B1229" w:rsidRDefault="0088690F" w:rsidP="00E753DA">
            <w:pPr>
              <w:jc w:val="center"/>
              <w:rPr>
                <w:b/>
              </w:rPr>
            </w:pPr>
            <w:r w:rsidRPr="008B1229">
              <w:rPr>
                <w:b/>
              </w:rPr>
              <w:t>£’000</w:t>
            </w:r>
          </w:p>
        </w:tc>
      </w:tr>
      <w:tr w:rsidR="00E753DA" w14:paraId="13701E45" w14:textId="77777777" w:rsidTr="00582F03">
        <w:trPr>
          <w:trHeight w:val="397"/>
        </w:trPr>
        <w:tc>
          <w:tcPr>
            <w:tcW w:w="3733" w:type="dxa"/>
            <w:tcBorders>
              <w:top w:val="single" w:sz="4" w:space="0" w:color="auto"/>
              <w:bottom w:val="nil"/>
              <w:right w:val="nil"/>
            </w:tcBorders>
            <w:shd w:val="clear" w:color="auto" w:fill="auto"/>
            <w:vAlign w:val="center"/>
          </w:tcPr>
          <w:p w14:paraId="13701E41" w14:textId="77777777" w:rsidR="00E753DA" w:rsidRDefault="00E753DA" w:rsidP="005D1445">
            <w:pPr>
              <w:jc w:val="left"/>
            </w:pPr>
            <w:r>
              <w:t>Chief Executive</w:t>
            </w:r>
          </w:p>
        </w:tc>
        <w:tc>
          <w:tcPr>
            <w:tcW w:w="1793" w:type="dxa"/>
            <w:tcBorders>
              <w:top w:val="single" w:sz="4" w:space="0" w:color="auto"/>
              <w:left w:val="nil"/>
              <w:bottom w:val="nil"/>
              <w:right w:val="nil"/>
            </w:tcBorders>
            <w:shd w:val="clear" w:color="auto" w:fill="auto"/>
            <w:tcMar>
              <w:right w:w="567" w:type="dxa"/>
            </w:tcMar>
            <w:vAlign w:val="center"/>
          </w:tcPr>
          <w:p w14:paraId="13701E42" w14:textId="77777777" w:rsidR="00E753DA" w:rsidRDefault="0089499D" w:rsidP="00A27BA8">
            <w:pPr>
              <w:jc w:val="right"/>
            </w:pPr>
            <w:r>
              <w:t>86</w:t>
            </w:r>
            <w:r w:rsidR="00A27BA8">
              <w:t>4</w:t>
            </w:r>
          </w:p>
        </w:tc>
        <w:tc>
          <w:tcPr>
            <w:tcW w:w="1793" w:type="dxa"/>
            <w:tcBorders>
              <w:top w:val="single" w:sz="4" w:space="0" w:color="auto"/>
              <w:left w:val="nil"/>
              <w:bottom w:val="nil"/>
              <w:right w:val="nil"/>
            </w:tcBorders>
            <w:shd w:val="clear" w:color="auto" w:fill="auto"/>
            <w:tcMar>
              <w:right w:w="567" w:type="dxa"/>
            </w:tcMar>
            <w:vAlign w:val="center"/>
          </w:tcPr>
          <w:p w14:paraId="13701E43" w14:textId="77777777" w:rsidR="00E753DA" w:rsidRDefault="0002256A" w:rsidP="00F80A0C">
            <w:pPr>
              <w:jc w:val="right"/>
            </w:pPr>
            <w:r>
              <w:t>8</w:t>
            </w:r>
          </w:p>
        </w:tc>
        <w:tc>
          <w:tcPr>
            <w:tcW w:w="1793" w:type="dxa"/>
            <w:tcBorders>
              <w:top w:val="single" w:sz="4" w:space="0" w:color="auto"/>
              <w:left w:val="nil"/>
              <w:bottom w:val="nil"/>
            </w:tcBorders>
            <w:shd w:val="clear" w:color="auto" w:fill="auto"/>
            <w:tcMar>
              <w:right w:w="567" w:type="dxa"/>
            </w:tcMar>
            <w:vAlign w:val="center"/>
          </w:tcPr>
          <w:p w14:paraId="13701E44" w14:textId="77777777" w:rsidR="00E753DA" w:rsidRDefault="00A123C3" w:rsidP="00F80A0C">
            <w:pPr>
              <w:jc w:val="right"/>
            </w:pPr>
            <w:r>
              <w:t>872</w:t>
            </w:r>
          </w:p>
        </w:tc>
      </w:tr>
      <w:tr w:rsidR="00E753DA" w14:paraId="13701E4A" w14:textId="77777777" w:rsidTr="00582F03">
        <w:trPr>
          <w:trHeight w:val="397"/>
        </w:trPr>
        <w:tc>
          <w:tcPr>
            <w:tcW w:w="3733" w:type="dxa"/>
            <w:tcBorders>
              <w:top w:val="nil"/>
              <w:bottom w:val="nil"/>
              <w:right w:val="nil"/>
            </w:tcBorders>
            <w:shd w:val="clear" w:color="auto" w:fill="auto"/>
            <w:vAlign w:val="center"/>
          </w:tcPr>
          <w:p w14:paraId="13701E46" w14:textId="77777777" w:rsidR="00E753DA" w:rsidRDefault="00E753DA" w:rsidP="005D1445">
            <w:pPr>
              <w:jc w:val="left"/>
            </w:pPr>
            <w:r>
              <w:t>Neighbourhoods &amp; Development</w:t>
            </w:r>
          </w:p>
        </w:tc>
        <w:tc>
          <w:tcPr>
            <w:tcW w:w="1793" w:type="dxa"/>
            <w:tcBorders>
              <w:top w:val="nil"/>
              <w:left w:val="nil"/>
              <w:bottom w:val="nil"/>
              <w:right w:val="nil"/>
            </w:tcBorders>
            <w:shd w:val="clear" w:color="auto" w:fill="auto"/>
            <w:tcMar>
              <w:right w:w="567" w:type="dxa"/>
            </w:tcMar>
            <w:vAlign w:val="center"/>
          </w:tcPr>
          <w:p w14:paraId="13701E47" w14:textId="77777777" w:rsidR="00E753DA" w:rsidRDefault="0089499D" w:rsidP="00F80A0C">
            <w:pPr>
              <w:jc w:val="right"/>
            </w:pPr>
            <w:r>
              <w:t>6,484</w:t>
            </w:r>
          </w:p>
        </w:tc>
        <w:tc>
          <w:tcPr>
            <w:tcW w:w="1793" w:type="dxa"/>
            <w:tcBorders>
              <w:top w:val="nil"/>
              <w:left w:val="nil"/>
              <w:bottom w:val="nil"/>
              <w:right w:val="nil"/>
            </w:tcBorders>
            <w:shd w:val="clear" w:color="auto" w:fill="auto"/>
            <w:tcMar>
              <w:right w:w="567" w:type="dxa"/>
            </w:tcMar>
            <w:vAlign w:val="center"/>
          </w:tcPr>
          <w:p w14:paraId="13701E48" w14:textId="77777777" w:rsidR="00E753DA" w:rsidRDefault="0002256A" w:rsidP="00E70349">
            <w:pPr>
              <w:jc w:val="right"/>
            </w:pPr>
            <w:r>
              <w:t>(</w:t>
            </w:r>
            <w:r w:rsidR="00E70349">
              <w:t>157</w:t>
            </w:r>
            <w:r>
              <w:t>)</w:t>
            </w:r>
          </w:p>
        </w:tc>
        <w:tc>
          <w:tcPr>
            <w:tcW w:w="1793" w:type="dxa"/>
            <w:tcBorders>
              <w:top w:val="nil"/>
              <w:left w:val="nil"/>
              <w:bottom w:val="nil"/>
            </w:tcBorders>
            <w:shd w:val="clear" w:color="auto" w:fill="auto"/>
            <w:tcMar>
              <w:right w:w="567" w:type="dxa"/>
            </w:tcMar>
            <w:vAlign w:val="center"/>
          </w:tcPr>
          <w:p w14:paraId="13701E49" w14:textId="77777777" w:rsidR="00E753DA" w:rsidRDefault="00A123C3" w:rsidP="00E70349">
            <w:pPr>
              <w:jc w:val="right"/>
            </w:pPr>
            <w:r>
              <w:t>6,3</w:t>
            </w:r>
            <w:r w:rsidR="00E70349">
              <w:t>2</w:t>
            </w:r>
            <w:r>
              <w:t>7</w:t>
            </w:r>
          </w:p>
        </w:tc>
      </w:tr>
      <w:tr w:rsidR="00E753DA" w14:paraId="13701E4F" w14:textId="77777777" w:rsidTr="00582F03">
        <w:trPr>
          <w:trHeight w:val="397"/>
        </w:trPr>
        <w:tc>
          <w:tcPr>
            <w:tcW w:w="3733" w:type="dxa"/>
            <w:tcBorders>
              <w:top w:val="nil"/>
              <w:bottom w:val="nil"/>
              <w:right w:val="nil"/>
            </w:tcBorders>
            <w:shd w:val="clear" w:color="auto" w:fill="auto"/>
            <w:vAlign w:val="center"/>
          </w:tcPr>
          <w:p w14:paraId="13701E4B" w14:textId="77777777" w:rsidR="00E753DA" w:rsidRDefault="00E753DA" w:rsidP="005D1445">
            <w:pPr>
              <w:jc w:val="left"/>
            </w:pPr>
            <w:r>
              <w:t>Planning and Property</w:t>
            </w:r>
          </w:p>
        </w:tc>
        <w:tc>
          <w:tcPr>
            <w:tcW w:w="1793" w:type="dxa"/>
            <w:tcBorders>
              <w:top w:val="nil"/>
              <w:left w:val="nil"/>
              <w:bottom w:val="nil"/>
              <w:right w:val="nil"/>
            </w:tcBorders>
            <w:shd w:val="clear" w:color="auto" w:fill="auto"/>
            <w:tcMar>
              <w:right w:w="567" w:type="dxa"/>
            </w:tcMar>
            <w:vAlign w:val="center"/>
          </w:tcPr>
          <w:p w14:paraId="13701E4C" w14:textId="77777777" w:rsidR="00E753DA" w:rsidRDefault="00F100F2" w:rsidP="00F100F2">
            <w:pPr>
              <w:jc w:val="right"/>
            </w:pPr>
            <w:r>
              <w:t>4</w:t>
            </w:r>
            <w:r w:rsidR="0089499D">
              <w:t>88</w:t>
            </w:r>
          </w:p>
        </w:tc>
        <w:tc>
          <w:tcPr>
            <w:tcW w:w="1793" w:type="dxa"/>
            <w:tcBorders>
              <w:top w:val="nil"/>
              <w:left w:val="nil"/>
              <w:bottom w:val="nil"/>
              <w:right w:val="nil"/>
            </w:tcBorders>
            <w:shd w:val="clear" w:color="auto" w:fill="auto"/>
            <w:tcMar>
              <w:right w:w="567" w:type="dxa"/>
            </w:tcMar>
            <w:vAlign w:val="center"/>
          </w:tcPr>
          <w:p w14:paraId="13701E4D" w14:textId="77777777" w:rsidR="00E753DA" w:rsidRDefault="0002256A" w:rsidP="00A42D20">
            <w:pPr>
              <w:jc w:val="right"/>
            </w:pPr>
            <w:r>
              <w:t>(1</w:t>
            </w:r>
            <w:r w:rsidR="00A42D20">
              <w:t>28</w:t>
            </w:r>
            <w:r>
              <w:t>)</w:t>
            </w:r>
          </w:p>
        </w:tc>
        <w:tc>
          <w:tcPr>
            <w:tcW w:w="1793" w:type="dxa"/>
            <w:tcBorders>
              <w:top w:val="nil"/>
              <w:left w:val="nil"/>
              <w:bottom w:val="nil"/>
            </w:tcBorders>
            <w:shd w:val="clear" w:color="auto" w:fill="auto"/>
            <w:tcMar>
              <w:right w:w="567" w:type="dxa"/>
            </w:tcMar>
            <w:vAlign w:val="center"/>
          </w:tcPr>
          <w:p w14:paraId="13701E4E" w14:textId="77777777" w:rsidR="00E753DA" w:rsidRDefault="00A42D20" w:rsidP="00A42D20">
            <w:pPr>
              <w:jc w:val="right"/>
            </w:pPr>
            <w:r>
              <w:t>360</w:t>
            </w:r>
          </w:p>
        </w:tc>
      </w:tr>
      <w:tr w:rsidR="00E753DA" w14:paraId="13701E54" w14:textId="77777777" w:rsidTr="00582F03">
        <w:trPr>
          <w:trHeight w:val="397"/>
        </w:trPr>
        <w:tc>
          <w:tcPr>
            <w:tcW w:w="3733" w:type="dxa"/>
            <w:tcBorders>
              <w:top w:val="nil"/>
              <w:bottom w:val="nil"/>
              <w:right w:val="nil"/>
            </w:tcBorders>
            <w:shd w:val="clear" w:color="auto" w:fill="auto"/>
            <w:vAlign w:val="center"/>
          </w:tcPr>
          <w:p w14:paraId="13701E50" w14:textId="77777777" w:rsidR="00E753DA" w:rsidRDefault="00E753DA" w:rsidP="005D1445">
            <w:pPr>
              <w:jc w:val="left"/>
            </w:pPr>
            <w:r>
              <w:t>Finance and Assurance</w:t>
            </w:r>
          </w:p>
        </w:tc>
        <w:tc>
          <w:tcPr>
            <w:tcW w:w="1793" w:type="dxa"/>
            <w:tcBorders>
              <w:top w:val="nil"/>
              <w:left w:val="nil"/>
              <w:bottom w:val="nil"/>
              <w:right w:val="nil"/>
            </w:tcBorders>
            <w:shd w:val="clear" w:color="auto" w:fill="auto"/>
            <w:tcMar>
              <w:right w:w="567" w:type="dxa"/>
            </w:tcMar>
            <w:vAlign w:val="center"/>
          </w:tcPr>
          <w:p w14:paraId="13701E51" w14:textId="77777777" w:rsidR="00E753DA" w:rsidRDefault="0089499D" w:rsidP="00F80A0C">
            <w:pPr>
              <w:jc w:val="right"/>
            </w:pPr>
            <w:r>
              <w:t>1,405</w:t>
            </w:r>
          </w:p>
        </w:tc>
        <w:tc>
          <w:tcPr>
            <w:tcW w:w="1793" w:type="dxa"/>
            <w:tcBorders>
              <w:top w:val="nil"/>
              <w:left w:val="nil"/>
              <w:bottom w:val="nil"/>
              <w:right w:val="nil"/>
            </w:tcBorders>
            <w:shd w:val="clear" w:color="auto" w:fill="auto"/>
            <w:tcMar>
              <w:right w:w="567" w:type="dxa"/>
            </w:tcMar>
            <w:vAlign w:val="center"/>
          </w:tcPr>
          <w:p w14:paraId="13701E52" w14:textId="77777777" w:rsidR="00E753DA" w:rsidRDefault="0002256A" w:rsidP="00F80A0C">
            <w:pPr>
              <w:jc w:val="right"/>
            </w:pPr>
            <w:r>
              <w:t>(29)</w:t>
            </w:r>
          </w:p>
        </w:tc>
        <w:tc>
          <w:tcPr>
            <w:tcW w:w="1793" w:type="dxa"/>
            <w:tcBorders>
              <w:top w:val="nil"/>
              <w:left w:val="nil"/>
              <w:bottom w:val="nil"/>
            </w:tcBorders>
            <w:shd w:val="clear" w:color="auto" w:fill="auto"/>
            <w:tcMar>
              <w:right w:w="567" w:type="dxa"/>
            </w:tcMar>
            <w:vAlign w:val="center"/>
          </w:tcPr>
          <w:p w14:paraId="13701E53" w14:textId="77777777" w:rsidR="00E753DA" w:rsidRDefault="00A123C3" w:rsidP="00F80A0C">
            <w:pPr>
              <w:jc w:val="right"/>
            </w:pPr>
            <w:r>
              <w:t>1,376</w:t>
            </w:r>
          </w:p>
        </w:tc>
      </w:tr>
      <w:tr w:rsidR="00E753DA" w14:paraId="13701E59" w14:textId="77777777" w:rsidTr="00582F03">
        <w:trPr>
          <w:trHeight w:val="397"/>
        </w:trPr>
        <w:tc>
          <w:tcPr>
            <w:tcW w:w="3733" w:type="dxa"/>
            <w:tcBorders>
              <w:top w:val="nil"/>
              <w:bottom w:val="nil"/>
              <w:right w:val="nil"/>
            </w:tcBorders>
            <w:shd w:val="clear" w:color="auto" w:fill="auto"/>
            <w:vAlign w:val="center"/>
          </w:tcPr>
          <w:p w14:paraId="13701E55" w14:textId="77777777" w:rsidR="00E753DA" w:rsidRDefault="00E753DA" w:rsidP="005D1445">
            <w:pPr>
              <w:jc w:val="left"/>
            </w:pPr>
            <w:r>
              <w:t>Legal, HR &amp; Democratic Services</w:t>
            </w:r>
          </w:p>
        </w:tc>
        <w:tc>
          <w:tcPr>
            <w:tcW w:w="1793" w:type="dxa"/>
            <w:tcBorders>
              <w:top w:val="nil"/>
              <w:left w:val="nil"/>
              <w:bottom w:val="nil"/>
              <w:right w:val="nil"/>
            </w:tcBorders>
            <w:shd w:val="clear" w:color="auto" w:fill="auto"/>
            <w:tcMar>
              <w:right w:w="567" w:type="dxa"/>
            </w:tcMar>
            <w:vAlign w:val="center"/>
          </w:tcPr>
          <w:p w14:paraId="13701E56" w14:textId="77777777" w:rsidR="00E753DA" w:rsidRDefault="0089499D" w:rsidP="00F80A0C">
            <w:pPr>
              <w:jc w:val="right"/>
            </w:pPr>
            <w:r>
              <w:t>1,746</w:t>
            </w:r>
          </w:p>
        </w:tc>
        <w:tc>
          <w:tcPr>
            <w:tcW w:w="1793" w:type="dxa"/>
            <w:tcBorders>
              <w:top w:val="nil"/>
              <w:left w:val="nil"/>
              <w:bottom w:val="nil"/>
              <w:right w:val="nil"/>
            </w:tcBorders>
            <w:shd w:val="clear" w:color="auto" w:fill="auto"/>
            <w:tcMar>
              <w:right w:w="567" w:type="dxa"/>
            </w:tcMar>
            <w:vAlign w:val="center"/>
          </w:tcPr>
          <w:p w14:paraId="13701E57" w14:textId="77777777" w:rsidR="00E753DA" w:rsidRDefault="0002256A" w:rsidP="00F80A0C">
            <w:pPr>
              <w:jc w:val="right"/>
            </w:pPr>
            <w:r>
              <w:t>(75)</w:t>
            </w:r>
          </w:p>
        </w:tc>
        <w:tc>
          <w:tcPr>
            <w:tcW w:w="1793" w:type="dxa"/>
            <w:tcBorders>
              <w:top w:val="nil"/>
              <w:left w:val="nil"/>
              <w:bottom w:val="nil"/>
            </w:tcBorders>
            <w:shd w:val="clear" w:color="auto" w:fill="auto"/>
            <w:tcMar>
              <w:right w:w="567" w:type="dxa"/>
            </w:tcMar>
            <w:vAlign w:val="center"/>
          </w:tcPr>
          <w:p w14:paraId="13701E58" w14:textId="77777777" w:rsidR="00E753DA" w:rsidRDefault="00A123C3" w:rsidP="00F80A0C">
            <w:pPr>
              <w:jc w:val="right"/>
            </w:pPr>
            <w:r>
              <w:t>1,671</w:t>
            </w:r>
          </w:p>
        </w:tc>
      </w:tr>
      <w:tr w:rsidR="00E753DA" w14:paraId="13701E5E" w14:textId="77777777" w:rsidTr="00582F03">
        <w:trPr>
          <w:trHeight w:val="397"/>
        </w:trPr>
        <w:tc>
          <w:tcPr>
            <w:tcW w:w="3733" w:type="dxa"/>
            <w:tcBorders>
              <w:top w:val="nil"/>
              <w:bottom w:val="nil"/>
              <w:right w:val="nil"/>
            </w:tcBorders>
            <w:shd w:val="clear" w:color="auto" w:fill="auto"/>
            <w:vAlign w:val="center"/>
          </w:tcPr>
          <w:p w14:paraId="13701E5A" w14:textId="77777777" w:rsidR="00E753DA" w:rsidRDefault="00E753DA" w:rsidP="005D1445">
            <w:pPr>
              <w:jc w:val="left"/>
            </w:pPr>
            <w:r>
              <w:t xml:space="preserve">Customer </w:t>
            </w:r>
            <w:r w:rsidR="005864F4">
              <w:t>Experience &amp; Operations</w:t>
            </w:r>
          </w:p>
        </w:tc>
        <w:tc>
          <w:tcPr>
            <w:tcW w:w="1793" w:type="dxa"/>
            <w:tcBorders>
              <w:top w:val="nil"/>
              <w:left w:val="nil"/>
              <w:bottom w:val="nil"/>
              <w:right w:val="nil"/>
            </w:tcBorders>
            <w:shd w:val="clear" w:color="auto" w:fill="auto"/>
            <w:tcMar>
              <w:right w:w="567" w:type="dxa"/>
            </w:tcMar>
            <w:vAlign w:val="center"/>
          </w:tcPr>
          <w:p w14:paraId="13701E5B" w14:textId="77777777" w:rsidR="00E753DA" w:rsidRDefault="0089499D" w:rsidP="00F80A0C">
            <w:pPr>
              <w:jc w:val="right"/>
            </w:pPr>
            <w:r>
              <w:t>2,098</w:t>
            </w:r>
          </w:p>
        </w:tc>
        <w:tc>
          <w:tcPr>
            <w:tcW w:w="1793" w:type="dxa"/>
            <w:tcBorders>
              <w:top w:val="nil"/>
              <w:left w:val="nil"/>
              <w:bottom w:val="nil"/>
              <w:right w:val="nil"/>
            </w:tcBorders>
            <w:shd w:val="clear" w:color="auto" w:fill="auto"/>
            <w:tcMar>
              <w:right w:w="567" w:type="dxa"/>
            </w:tcMar>
            <w:vAlign w:val="center"/>
          </w:tcPr>
          <w:p w14:paraId="13701E5C" w14:textId="77777777" w:rsidR="00E753DA" w:rsidRDefault="0002256A" w:rsidP="00F80A0C">
            <w:pPr>
              <w:jc w:val="right"/>
            </w:pPr>
            <w:r>
              <w:t>(90)</w:t>
            </w:r>
          </w:p>
        </w:tc>
        <w:tc>
          <w:tcPr>
            <w:tcW w:w="1793" w:type="dxa"/>
            <w:tcBorders>
              <w:top w:val="nil"/>
              <w:left w:val="nil"/>
              <w:bottom w:val="nil"/>
            </w:tcBorders>
            <w:shd w:val="clear" w:color="auto" w:fill="auto"/>
            <w:tcMar>
              <w:right w:w="567" w:type="dxa"/>
            </w:tcMar>
            <w:vAlign w:val="center"/>
          </w:tcPr>
          <w:p w14:paraId="13701E5D" w14:textId="77777777" w:rsidR="00E753DA" w:rsidRDefault="00A123C3" w:rsidP="00F80A0C">
            <w:pPr>
              <w:jc w:val="right"/>
            </w:pPr>
            <w:r>
              <w:t>2,008</w:t>
            </w:r>
          </w:p>
        </w:tc>
      </w:tr>
      <w:tr w:rsidR="00E753DA" w14:paraId="13701E63" w14:textId="77777777" w:rsidTr="00582F03">
        <w:trPr>
          <w:trHeight w:val="397"/>
        </w:trPr>
        <w:tc>
          <w:tcPr>
            <w:tcW w:w="3733" w:type="dxa"/>
            <w:tcBorders>
              <w:top w:val="nil"/>
              <w:bottom w:val="nil"/>
              <w:right w:val="nil"/>
            </w:tcBorders>
            <w:shd w:val="clear" w:color="auto" w:fill="auto"/>
            <w:vAlign w:val="center"/>
          </w:tcPr>
          <w:p w14:paraId="13701E5F" w14:textId="77777777" w:rsidR="00E753DA" w:rsidRDefault="00E753DA" w:rsidP="005D1445">
            <w:pPr>
              <w:jc w:val="left"/>
            </w:pPr>
            <w:r>
              <w:t>Pension Deficit Contributions</w:t>
            </w:r>
          </w:p>
        </w:tc>
        <w:tc>
          <w:tcPr>
            <w:tcW w:w="1793" w:type="dxa"/>
            <w:tcBorders>
              <w:top w:val="nil"/>
              <w:left w:val="nil"/>
              <w:bottom w:val="nil"/>
              <w:right w:val="nil"/>
            </w:tcBorders>
            <w:shd w:val="clear" w:color="auto" w:fill="auto"/>
            <w:tcMar>
              <w:right w:w="567" w:type="dxa"/>
            </w:tcMar>
            <w:vAlign w:val="center"/>
          </w:tcPr>
          <w:p w14:paraId="13701E60" w14:textId="77777777" w:rsidR="00E753DA" w:rsidRDefault="0089499D" w:rsidP="00F80A0C">
            <w:pPr>
              <w:jc w:val="right"/>
            </w:pPr>
            <w:r>
              <w:t>414</w:t>
            </w:r>
          </w:p>
        </w:tc>
        <w:tc>
          <w:tcPr>
            <w:tcW w:w="1793" w:type="dxa"/>
            <w:tcBorders>
              <w:top w:val="nil"/>
              <w:left w:val="nil"/>
              <w:bottom w:val="nil"/>
              <w:right w:val="nil"/>
            </w:tcBorders>
            <w:shd w:val="clear" w:color="auto" w:fill="auto"/>
            <w:tcMar>
              <w:right w:w="567" w:type="dxa"/>
            </w:tcMar>
            <w:vAlign w:val="center"/>
          </w:tcPr>
          <w:p w14:paraId="13701E61" w14:textId="77777777" w:rsidR="00E753DA" w:rsidRDefault="0002256A" w:rsidP="00F80A0C">
            <w:pPr>
              <w:jc w:val="right"/>
            </w:pPr>
            <w:r>
              <w:t>0</w:t>
            </w:r>
          </w:p>
        </w:tc>
        <w:tc>
          <w:tcPr>
            <w:tcW w:w="1793" w:type="dxa"/>
            <w:tcBorders>
              <w:top w:val="nil"/>
              <w:left w:val="nil"/>
              <w:bottom w:val="nil"/>
            </w:tcBorders>
            <w:shd w:val="clear" w:color="auto" w:fill="auto"/>
            <w:tcMar>
              <w:right w:w="567" w:type="dxa"/>
            </w:tcMar>
            <w:vAlign w:val="center"/>
          </w:tcPr>
          <w:p w14:paraId="13701E62" w14:textId="77777777" w:rsidR="00E753DA" w:rsidRDefault="00A123C3" w:rsidP="00F80A0C">
            <w:pPr>
              <w:jc w:val="right"/>
            </w:pPr>
            <w:r>
              <w:t>414</w:t>
            </w:r>
          </w:p>
        </w:tc>
      </w:tr>
      <w:tr w:rsidR="00A123C3" w:rsidRPr="00A123C3" w14:paraId="13701E68" w14:textId="77777777" w:rsidTr="00582F03">
        <w:trPr>
          <w:trHeight w:val="397"/>
        </w:trPr>
        <w:tc>
          <w:tcPr>
            <w:tcW w:w="3733" w:type="dxa"/>
            <w:tcBorders>
              <w:top w:val="nil"/>
              <w:bottom w:val="nil"/>
              <w:right w:val="nil"/>
            </w:tcBorders>
            <w:shd w:val="clear" w:color="auto" w:fill="auto"/>
            <w:vAlign w:val="center"/>
          </w:tcPr>
          <w:p w14:paraId="13701E64" w14:textId="77777777" w:rsidR="00E753DA" w:rsidRDefault="00E753DA" w:rsidP="0089499D">
            <w:pPr>
              <w:jc w:val="left"/>
            </w:pPr>
            <w:r>
              <w:t>Efficiency Target</w:t>
            </w:r>
            <w:r w:rsidR="0089499D">
              <w:t xml:space="preserve"> – Staff Turnover</w:t>
            </w:r>
          </w:p>
        </w:tc>
        <w:tc>
          <w:tcPr>
            <w:tcW w:w="1793" w:type="dxa"/>
            <w:tcBorders>
              <w:top w:val="nil"/>
              <w:left w:val="nil"/>
              <w:bottom w:val="single" w:sz="4" w:space="0" w:color="auto"/>
              <w:right w:val="nil"/>
            </w:tcBorders>
            <w:shd w:val="clear" w:color="auto" w:fill="auto"/>
            <w:tcMar>
              <w:right w:w="567" w:type="dxa"/>
            </w:tcMar>
            <w:vAlign w:val="center"/>
          </w:tcPr>
          <w:p w14:paraId="13701E65" w14:textId="77777777" w:rsidR="00E753DA" w:rsidRDefault="0089499D" w:rsidP="00F80A0C">
            <w:pPr>
              <w:jc w:val="right"/>
            </w:pPr>
            <w:r>
              <w:t>(150)</w:t>
            </w:r>
          </w:p>
        </w:tc>
        <w:tc>
          <w:tcPr>
            <w:tcW w:w="1793" w:type="dxa"/>
            <w:tcBorders>
              <w:top w:val="nil"/>
              <w:left w:val="nil"/>
              <w:bottom w:val="single" w:sz="4" w:space="0" w:color="auto"/>
              <w:right w:val="nil"/>
            </w:tcBorders>
            <w:shd w:val="clear" w:color="auto" w:fill="auto"/>
            <w:tcMar>
              <w:right w:w="567" w:type="dxa"/>
            </w:tcMar>
            <w:vAlign w:val="center"/>
          </w:tcPr>
          <w:p w14:paraId="13701E66" w14:textId="77777777" w:rsidR="00E753DA" w:rsidRDefault="0002256A" w:rsidP="00F80A0C">
            <w:pPr>
              <w:jc w:val="right"/>
            </w:pPr>
            <w:r>
              <w:t>150</w:t>
            </w:r>
          </w:p>
        </w:tc>
        <w:tc>
          <w:tcPr>
            <w:tcW w:w="1793" w:type="dxa"/>
            <w:tcBorders>
              <w:top w:val="nil"/>
              <w:left w:val="nil"/>
              <w:bottom w:val="single" w:sz="4" w:space="0" w:color="auto"/>
            </w:tcBorders>
            <w:shd w:val="clear" w:color="auto" w:fill="auto"/>
            <w:tcMar>
              <w:right w:w="567" w:type="dxa"/>
            </w:tcMar>
            <w:vAlign w:val="center"/>
          </w:tcPr>
          <w:p w14:paraId="13701E67" w14:textId="77777777" w:rsidR="00E753DA" w:rsidRPr="00A123C3" w:rsidRDefault="00A123C3" w:rsidP="00F80A0C">
            <w:pPr>
              <w:jc w:val="right"/>
            </w:pPr>
            <w:r w:rsidRPr="00A123C3">
              <w:t>0</w:t>
            </w:r>
          </w:p>
        </w:tc>
      </w:tr>
      <w:tr w:rsidR="00E753DA" w14:paraId="13701E6D" w14:textId="77777777" w:rsidTr="00582F03">
        <w:trPr>
          <w:trHeight w:val="397"/>
        </w:trPr>
        <w:tc>
          <w:tcPr>
            <w:tcW w:w="3733" w:type="dxa"/>
            <w:tcBorders>
              <w:top w:val="nil"/>
              <w:bottom w:val="nil"/>
              <w:right w:val="nil"/>
            </w:tcBorders>
            <w:shd w:val="clear" w:color="auto" w:fill="auto"/>
            <w:vAlign w:val="center"/>
          </w:tcPr>
          <w:p w14:paraId="13701E69" w14:textId="77777777" w:rsidR="00E753DA" w:rsidRPr="009741E4" w:rsidRDefault="00E753DA" w:rsidP="00F80A0C">
            <w:pPr>
              <w:rPr>
                <w:b/>
              </w:rPr>
            </w:pPr>
            <w:r w:rsidRPr="009741E4">
              <w:rPr>
                <w:b/>
              </w:rPr>
              <w:t>Net Cost of Services</w:t>
            </w:r>
          </w:p>
        </w:tc>
        <w:tc>
          <w:tcPr>
            <w:tcW w:w="1793" w:type="dxa"/>
            <w:tcBorders>
              <w:top w:val="single" w:sz="4" w:space="0" w:color="auto"/>
              <w:left w:val="nil"/>
              <w:bottom w:val="nil"/>
              <w:right w:val="nil"/>
            </w:tcBorders>
            <w:shd w:val="clear" w:color="auto" w:fill="auto"/>
            <w:tcMar>
              <w:right w:w="567" w:type="dxa"/>
            </w:tcMar>
            <w:vAlign w:val="center"/>
          </w:tcPr>
          <w:p w14:paraId="13701E6A" w14:textId="77777777" w:rsidR="00E753DA" w:rsidRPr="009741E4" w:rsidRDefault="00F100F2" w:rsidP="00A2511C">
            <w:pPr>
              <w:jc w:val="right"/>
              <w:rPr>
                <w:b/>
              </w:rPr>
            </w:pPr>
            <w:r>
              <w:rPr>
                <w:b/>
              </w:rPr>
              <w:t>13,</w:t>
            </w:r>
            <w:r w:rsidR="00A2511C">
              <w:rPr>
                <w:b/>
              </w:rPr>
              <w:t>3</w:t>
            </w:r>
            <w:r>
              <w:rPr>
                <w:b/>
              </w:rPr>
              <w:t>4</w:t>
            </w:r>
            <w:r w:rsidR="00A27BA8">
              <w:rPr>
                <w:b/>
              </w:rPr>
              <w:t>9</w:t>
            </w:r>
          </w:p>
        </w:tc>
        <w:tc>
          <w:tcPr>
            <w:tcW w:w="1793" w:type="dxa"/>
            <w:tcBorders>
              <w:top w:val="single" w:sz="4" w:space="0" w:color="auto"/>
              <w:left w:val="nil"/>
              <w:bottom w:val="nil"/>
              <w:right w:val="nil"/>
            </w:tcBorders>
            <w:shd w:val="clear" w:color="auto" w:fill="auto"/>
            <w:tcMar>
              <w:right w:w="567" w:type="dxa"/>
            </w:tcMar>
            <w:vAlign w:val="center"/>
          </w:tcPr>
          <w:p w14:paraId="13701E6B" w14:textId="77777777" w:rsidR="00E753DA" w:rsidRPr="00963C6D" w:rsidRDefault="00A123C3" w:rsidP="00E70349">
            <w:pPr>
              <w:jc w:val="right"/>
              <w:rPr>
                <w:b/>
              </w:rPr>
            </w:pPr>
            <w:r>
              <w:rPr>
                <w:b/>
              </w:rPr>
              <w:t>(</w:t>
            </w:r>
            <w:r w:rsidR="00E70349">
              <w:rPr>
                <w:b/>
              </w:rPr>
              <w:t>321</w:t>
            </w:r>
            <w:r>
              <w:rPr>
                <w:b/>
              </w:rPr>
              <w:t>)</w:t>
            </w:r>
          </w:p>
        </w:tc>
        <w:tc>
          <w:tcPr>
            <w:tcW w:w="1793" w:type="dxa"/>
            <w:tcBorders>
              <w:top w:val="single" w:sz="4" w:space="0" w:color="auto"/>
              <w:left w:val="nil"/>
              <w:bottom w:val="nil"/>
            </w:tcBorders>
            <w:shd w:val="clear" w:color="auto" w:fill="auto"/>
            <w:tcMar>
              <w:right w:w="567" w:type="dxa"/>
            </w:tcMar>
            <w:vAlign w:val="center"/>
          </w:tcPr>
          <w:p w14:paraId="13701E6C" w14:textId="77777777" w:rsidR="00E753DA" w:rsidRPr="00963C6D" w:rsidRDefault="00A123C3" w:rsidP="00E70349">
            <w:pPr>
              <w:jc w:val="right"/>
              <w:rPr>
                <w:b/>
              </w:rPr>
            </w:pPr>
            <w:r>
              <w:rPr>
                <w:b/>
              </w:rPr>
              <w:t>13,0</w:t>
            </w:r>
            <w:r w:rsidR="00E70349">
              <w:rPr>
                <w:b/>
              </w:rPr>
              <w:t>2</w:t>
            </w:r>
            <w:r w:rsidR="00A42D20">
              <w:rPr>
                <w:b/>
              </w:rPr>
              <w:t>8</w:t>
            </w:r>
          </w:p>
        </w:tc>
      </w:tr>
      <w:tr w:rsidR="00E753DA" w14:paraId="13701E72" w14:textId="77777777" w:rsidTr="00582F03">
        <w:trPr>
          <w:trHeight w:val="113"/>
        </w:trPr>
        <w:tc>
          <w:tcPr>
            <w:tcW w:w="3733" w:type="dxa"/>
            <w:tcBorders>
              <w:top w:val="nil"/>
              <w:bottom w:val="nil"/>
              <w:right w:val="nil"/>
            </w:tcBorders>
            <w:shd w:val="clear" w:color="auto" w:fill="auto"/>
            <w:vAlign w:val="center"/>
          </w:tcPr>
          <w:p w14:paraId="13701E6E" w14:textId="77777777" w:rsidR="00E753DA" w:rsidRDefault="00E753DA" w:rsidP="00F80A0C"/>
        </w:tc>
        <w:tc>
          <w:tcPr>
            <w:tcW w:w="1793" w:type="dxa"/>
            <w:tcBorders>
              <w:top w:val="nil"/>
              <w:left w:val="nil"/>
              <w:bottom w:val="nil"/>
              <w:right w:val="nil"/>
            </w:tcBorders>
            <w:shd w:val="clear" w:color="auto" w:fill="auto"/>
            <w:tcMar>
              <w:right w:w="567" w:type="dxa"/>
            </w:tcMar>
            <w:vAlign w:val="center"/>
          </w:tcPr>
          <w:p w14:paraId="13701E6F" w14:textId="77777777" w:rsidR="00E753DA" w:rsidRDefault="00E753DA" w:rsidP="00F80A0C"/>
        </w:tc>
        <w:tc>
          <w:tcPr>
            <w:tcW w:w="1793" w:type="dxa"/>
            <w:tcBorders>
              <w:top w:val="nil"/>
              <w:left w:val="nil"/>
              <w:bottom w:val="nil"/>
              <w:right w:val="nil"/>
            </w:tcBorders>
            <w:shd w:val="clear" w:color="auto" w:fill="auto"/>
            <w:tcMar>
              <w:right w:w="567" w:type="dxa"/>
            </w:tcMar>
            <w:vAlign w:val="center"/>
          </w:tcPr>
          <w:p w14:paraId="13701E70" w14:textId="77777777" w:rsidR="00E753DA" w:rsidRDefault="00E753DA" w:rsidP="00F80A0C"/>
        </w:tc>
        <w:tc>
          <w:tcPr>
            <w:tcW w:w="1793" w:type="dxa"/>
            <w:tcBorders>
              <w:top w:val="nil"/>
              <w:left w:val="nil"/>
              <w:bottom w:val="nil"/>
            </w:tcBorders>
            <w:shd w:val="clear" w:color="auto" w:fill="auto"/>
            <w:tcMar>
              <w:right w:w="567" w:type="dxa"/>
            </w:tcMar>
            <w:vAlign w:val="center"/>
          </w:tcPr>
          <w:p w14:paraId="13701E71" w14:textId="77777777" w:rsidR="00E753DA" w:rsidRDefault="00E753DA" w:rsidP="00F80A0C"/>
        </w:tc>
      </w:tr>
      <w:tr w:rsidR="00E753DA" w14:paraId="13701E77" w14:textId="77777777" w:rsidTr="00582F03">
        <w:trPr>
          <w:trHeight w:val="397"/>
        </w:trPr>
        <w:tc>
          <w:tcPr>
            <w:tcW w:w="3733" w:type="dxa"/>
            <w:tcBorders>
              <w:top w:val="nil"/>
              <w:bottom w:val="nil"/>
              <w:right w:val="nil"/>
            </w:tcBorders>
            <w:shd w:val="clear" w:color="auto" w:fill="auto"/>
            <w:vAlign w:val="center"/>
          </w:tcPr>
          <w:p w14:paraId="13701E73" w14:textId="77777777" w:rsidR="00E753DA" w:rsidRDefault="00E753DA" w:rsidP="005D1445">
            <w:pPr>
              <w:jc w:val="left"/>
            </w:pPr>
            <w:r>
              <w:t>Interest payable</w:t>
            </w:r>
            <w:r w:rsidR="00A747C0">
              <w:t xml:space="preserve"> </w:t>
            </w:r>
            <w:r>
              <w:t>/</w:t>
            </w:r>
            <w:r w:rsidR="00A747C0">
              <w:t xml:space="preserve"> </w:t>
            </w:r>
            <w:r>
              <w:t>receivable</w:t>
            </w:r>
          </w:p>
        </w:tc>
        <w:tc>
          <w:tcPr>
            <w:tcW w:w="1793" w:type="dxa"/>
            <w:tcBorders>
              <w:top w:val="nil"/>
              <w:left w:val="nil"/>
              <w:bottom w:val="nil"/>
              <w:right w:val="nil"/>
            </w:tcBorders>
            <w:shd w:val="clear" w:color="auto" w:fill="auto"/>
            <w:tcMar>
              <w:right w:w="567" w:type="dxa"/>
            </w:tcMar>
            <w:vAlign w:val="center"/>
          </w:tcPr>
          <w:p w14:paraId="13701E74" w14:textId="77777777" w:rsidR="00E753DA" w:rsidRDefault="0089499D" w:rsidP="00F80A0C">
            <w:pPr>
              <w:jc w:val="right"/>
            </w:pPr>
            <w:r>
              <w:t>(89)</w:t>
            </w:r>
          </w:p>
        </w:tc>
        <w:tc>
          <w:tcPr>
            <w:tcW w:w="1793" w:type="dxa"/>
            <w:tcBorders>
              <w:top w:val="nil"/>
              <w:left w:val="nil"/>
              <w:bottom w:val="nil"/>
              <w:right w:val="nil"/>
            </w:tcBorders>
            <w:shd w:val="clear" w:color="auto" w:fill="auto"/>
            <w:tcMar>
              <w:right w:w="567" w:type="dxa"/>
            </w:tcMar>
            <w:vAlign w:val="center"/>
          </w:tcPr>
          <w:p w14:paraId="13701E75" w14:textId="77777777" w:rsidR="00E753DA" w:rsidRDefault="0002256A" w:rsidP="00F80A0C">
            <w:pPr>
              <w:jc w:val="right"/>
            </w:pPr>
            <w:r>
              <w:t>(80)</w:t>
            </w:r>
          </w:p>
        </w:tc>
        <w:tc>
          <w:tcPr>
            <w:tcW w:w="1793" w:type="dxa"/>
            <w:tcBorders>
              <w:top w:val="nil"/>
              <w:left w:val="nil"/>
              <w:bottom w:val="nil"/>
            </w:tcBorders>
            <w:shd w:val="clear" w:color="auto" w:fill="auto"/>
            <w:tcMar>
              <w:right w:w="567" w:type="dxa"/>
            </w:tcMar>
            <w:vAlign w:val="center"/>
          </w:tcPr>
          <w:p w14:paraId="13701E76" w14:textId="77777777" w:rsidR="00E753DA" w:rsidRDefault="00A123C3" w:rsidP="00A123C3">
            <w:pPr>
              <w:jc w:val="right"/>
            </w:pPr>
            <w:r>
              <w:t>(169)</w:t>
            </w:r>
          </w:p>
        </w:tc>
      </w:tr>
      <w:tr w:rsidR="00E753DA" w14:paraId="13701E7C" w14:textId="77777777" w:rsidTr="00582F03">
        <w:trPr>
          <w:trHeight w:val="397"/>
        </w:trPr>
        <w:tc>
          <w:tcPr>
            <w:tcW w:w="3733" w:type="dxa"/>
            <w:tcBorders>
              <w:top w:val="nil"/>
              <w:bottom w:val="nil"/>
              <w:right w:val="nil"/>
            </w:tcBorders>
            <w:shd w:val="clear" w:color="auto" w:fill="auto"/>
            <w:vAlign w:val="center"/>
          </w:tcPr>
          <w:p w14:paraId="13701E78" w14:textId="77777777" w:rsidR="00E753DA" w:rsidRDefault="00E753DA" w:rsidP="005D1445">
            <w:pPr>
              <w:jc w:val="left"/>
            </w:pPr>
            <w:r>
              <w:t>Parish Precepts</w:t>
            </w:r>
          </w:p>
        </w:tc>
        <w:tc>
          <w:tcPr>
            <w:tcW w:w="1793" w:type="dxa"/>
            <w:tcBorders>
              <w:top w:val="nil"/>
              <w:left w:val="nil"/>
              <w:bottom w:val="nil"/>
              <w:right w:val="nil"/>
            </w:tcBorders>
            <w:shd w:val="clear" w:color="auto" w:fill="auto"/>
            <w:tcMar>
              <w:right w:w="567" w:type="dxa"/>
            </w:tcMar>
            <w:vAlign w:val="center"/>
          </w:tcPr>
          <w:p w14:paraId="13701E79" w14:textId="77777777" w:rsidR="00E753DA" w:rsidRDefault="0089499D" w:rsidP="00F80A0C">
            <w:pPr>
              <w:jc w:val="right"/>
            </w:pPr>
            <w:r>
              <w:t>397</w:t>
            </w:r>
          </w:p>
        </w:tc>
        <w:tc>
          <w:tcPr>
            <w:tcW w:w="1793" w:type="dxa"/>
            <w:tcBorders>
              <w:top w:val="nil"/>
              <w:left w:val="nil"/>
              <w:bottom w:val="nil"/>
              <w:right w:val="nil"/>
            </w:tcBorders>
            <w:shd w:val="clear" w:color="auto" w:fill="auto"/>
            <w:tcMar>
              <w:right w:w="567" w:type="dxa"/>
            </w:tcMar>
            <w:vAlign w:val="center"/>
          </w:tcPr>
          <w:p w14:paraId="13701E7A" w14:textId="77777777" w:rsidR="00E753DA" w:rsidRDefault="0002256A" w:rsidP="00F80A0C">
            <w:pPr>
              <w:jc w:val="right"/>
            </w:pPr>
            <w:r>
              <w:t>0</w:t>
            </w:r>
          </w:p>
        </w:tc>
        <w:tc>
          <w:tcPr>
            <w:tcW w:w="1793" w:type="dxa"/>
            <w:tcBorders>
              <w:top w:val="nil"/>
              <w:left w:val="nil"/>
              <w:bottom w:val="nil"/>
            </w:tcBorders>
            <w:shd w:val="clear" w:color="auto" w:fill="auto"/>
            <w:tcMar>
              <w:right w:w="567" w:type="dxa"/>
            </w:tcMar>
            <w:vAlign w:val="center"/>
          </w:tcPr>
          <w:p w14:paraId="13701E7B" w14:textId="77777777" w:rsidR="00E753DA" w:rsidRDefault="00A123C3" w:rsidP="00F80A0C">
            <w:pPr>
              <w:jc w:val="right"/>
            </w:pPr>
            <w:r>
              <w:t>397</w:t>
            </w:r>
          </w:p>
        </w:tc>
      </w:tr>
      <w:tr w:rsidR="00E753DA" w14:paraId="13701E81" w14:textId="77777777" w:rsidTr="00582F03">
        <w:trPr>
          <w:trHeight w:val="397"/>
        </w:trPr>
        <w:tc>
          <w:tcPr>
            <w:tcW w:w="3733" w:type="dxa"/>
            <w:tcBorders>
              <w:top w:val="nil"/>
              <w:bottom w:val="nil"/>
              <w:right w:val="nil"/>
            </w:tcBorders>
            <w:shd w:val="clear" w:color="auto" w:fill="auto"/>
            <w:vAlign w:val="center"/>
          </w:tcPr>
          <w:p w14:paraId="13701E7D" w14:textId="77777777" w:rsidR="00E753DA" w:rsidRDefault="00E753DA" w:rsidP="005D1445">
            <w:pPr>
              <w:jc w:val="left"/>
            </w:pPr>
            <w:r>
              <w:t>Provision for repayment of debt</w:t>
            </w:r>
          </w:p>
        </w:tc>
        <w:tc>
          <w:tcPr>
            <w:tcW w:w="1793" w:type="dxa"/>
            <w:tcBorders>
              <w:top w:val="nil"/>
              <w:left w:val="nil"/>
              <w:bottom w:val="single" w:sz="4" w:space="0" w:color="auto"/>
              <w:right w:val="nil"/>
            </w:tcBorders>
            <w:shd w:val="clear" w:color="auto" w:fill="auto"/>
            <w:tcMar>
              <w:right w:w="567" w:type="dxa"/>
            </w:tcMar>
            <w:vAlign w:val="center"/>
          </w:tcPr>
          <w:p w14:paraId="13701E7E" w14:textId="77777777" w:rsidR="00E753DA" w:rsidRDefault="0089499D" w:rsidP="00F80A0C">
            <w:pPr>
              <w:jc w:val="right"/>
            </w:pPr>
            <w:r>
              <w:t>835</w:t>
            </w:r>
          </w:p>
        </w:tc>
        <w:tc>
          <w:tcPr>
            <w:tcW w:w="1793" w:type="dxa"/>
            <w:tcBorders>
              <w:top w:val="nil"/>
              <w:left w:val="nil"/>
              <w:bottom w:val="single" w:sz="4" w:space="0" w:color="auto"/>
              <w:right w:val="nil"/>
            </w:tcBorders>
            <w:shd w:val="clear" w:color="auto" w:fill="auto"/>
            <w:tcMar>
              <w:right w:w="567" w:type="dxa"/>
            </w:tcMar>
            <w:vAlign w:val="center"/>
          </w:tcPr>
          <w:p w14:paraId="13701E7F" w14:textId="77777777" w:rsidR="00E753DA" w:rsidRDefault="0002256A" w:rsidP="00F80A0C">
            <w:pPr>
              <w:jc w:val="right"/>
            </w:pPr>
            <w:r>
              <w:t>0</w:t>
            </w:r>
          </w:p>
        </w:tc>
        <w:tc>
          <w:tcPr>
            <w:tcW w:w="1793" w:type="dxa"/>
            <w:tcBorders>
              <w:top w:val="nil"/>
              <w:left w:val="nil"/>
              <w:bottom w:val="single" w:sz="4" w:space="0" w:color="auto"/>
            </w:tcBorders>
            <w:shd w:val="clear" w:color="auto" w:fill="auto"/>
            <w:tcMar>
              <w:right w:w="567" w:type="dxa"/>
            </w:tcMar>
            <w:vAlign w:val="center"/>
          </w:tcPr>
          <w:p w14:paraId="13701E80" w14:textId="77777777" w:rsidR="00E753DA" w:rsidRDefault="00A123C3" w:rsidP="00F80A0C">
            <w:pPr>
              <w:jc w:val="right"/>
            </w:pPr>
            <w:r>
              <w:t>835</w:t>
            </w:r>
          </w:p>
        </w:tc>
      </w:tr>
      <w:tr w:rsidR="00E753DA" w14:paraId="13701E86" w14:textId="77777777" w:rsidTr="00582F03">
        <w:trPr>
          <w:trHeight w:val="397"/>
        </w:trPr>
        <w:tc>
          <w:tcPr>
            <w:tcW w:w="3733" w:type="dxa"/>
            <w:tcBorders>
              <w:top w:val="nil"/>
              <w:bottom w:val="nil"/>
              <w:right w:val="nil"/>
            </w:tcBorders>
            <w:shd w:val="clear" w:color="auto" w:fill="auto"/>
            <w:vAlign w:val="center"/>
          </w:tcPr>
          <w:p w14:paraId="13701E82" w14:textId="77777777" w:rsidR="00E753DA" w:rsidRPr="009741E4" w:rsidRDefault="00E753DA" w:rsidP="00F80A0C">
            <w:pPr>
              <w:rPr>
                <w:b/>
              </w:rPr>
            </w:pPr>
            <w:r w:rsidRPr="009741E4">
              <w:rPr>
                <w:b/>
              </w:rPr>
              <w:t>Funding Requirement</w:t>
            </w:r>
          </w:p>
        </w:tc>
        <w:tc>
          <w:tcPr>
            <w:tcW w:w="1793" w:type="dxa"/>
            <w:tcBorders>
              <w:top w:val="single" w:sz="4" w:space="0" w:color="auto"/>
              <w:left w:val="nil"/>
              <w:bottom w:val="single" w:sz="4" w:space="0" w:color="auto"/>
              <w:right w:val="nil"/>
            </w:tcBorders>
            <w:shd w:val="clear" w:color="auto" w:fill="auto"/>
            <w:tcMar>
              <w:right w:w="567" w:type="dxa"/>
            </w:tcMar>
            <w:vAlign w:val="center"/>
          </w:tcPr>
          <w:p w14:paraId="13701E83" w14:textId="77777777" w:rsidR="00E753DA" w:rsidRPr="009741E4" w:rsidRDefault="00F100F2" w:rsidP="00A27BA8">
            <w:pPr>
              <w:jc w:val="right"/>
              <w:rPr>
                <w:b/>
              </w:rPr>
            </w:pPr>
            <w:r>
              <w:rPr>
                <w:b/>
              </w:rPr>
              <w:t>14,</w:t>
            </w:r>
            <w:r w:rsidR="00A27BA8">
              <w:rPr>
                <w:b/>
              </w:rPr>
              <w:t>4</w:t>
            </w:r>
            <w:r>
              <w:rPr>
                <w:b/>
              </w:rPr>
              <w:t>9</w:t>
            </w:r>
            <w:r w:rsidR="00A27BA8">
              <w:rPr>
                <w:b/>
              </w:rPr>
              <w:t>2</w:t>
            </w:r>
          </w:p>
        </w:tc>
        <w:tc>
          <w:tcPr>
            <w:tcW w:w="1793" w:type="dxa"/>
            <w:tcBorders>
              <w:top w:val="single" w:sz="4" w:space="0" w:color="auto"/>
              <w:left w:val="nil"/>
              <w:bottom w:val="single" w:sz="4" w:space="0" w:color="auto"/>
              <w:right w:val="nil"/>
            </w:tcBorders>
            <w:shd w:val="clear" w:color="auto" w:fill="auto"/>
            <w:tcMar>
              <w:right w:w="567" w:type="dxa"/>
            </w:tcMar>
            <w:vAlign w:val="center"/>
          </w:tcPr>
          <w:p w14:paraId="13701E84" w14:textId="77777777" w:rsidR="00E753DA" w:rsidRPr="00C374FB" w:rsidRDefault="00A123C3" w:rsidP="00E70349">
            <w:pPr>
              <w:jc w:val="right"/>
              <w:rPr>
                <w:b/>
              </w:rPr>
            </w:pPr>
            <w:r>
              <w:rPr>
                <w:b/>
              </w:rPr>
              <w:t>(</w:t>
            </w:r>
            <w:r w:rsidR="00E70349">
              <w:rPr>
                <w:b/>
              </w:rPr>
              <w:t>401</w:t>
            </w:r>
            <w:r>
              <w:rPr>
                <w:b/>
              </w:rPr>
              <w:t>)</w:t>
            </w:r>
          </w:p>
        </w:tc>
        <w:tc>
          <w:tcPr>
            <w:tcW w:w="1793" w:type="dxa"/>
            <w:tcBorders>
              <w:top w:val="single" w:sz="4" w:space="0" w:color="auto"/>
              <w:left w:val="nil"/>
              <w:bottom w:val="single" w:sz="4" w:space="0" w:color="auto"/>
            </w:tcBorders>
            <w:shd w:val="clear" w:color="auto" w:fill="auto"/>
            <w:tcMar>
              <w:right w:w="567" w:type="dxa"/>
            </w:tcMar>
            <w:vAlign w:val="center"/>
          </w:tcPr>
          <w:p w14:paraId="13701E85" w14:textId="77777777" w:rsidR="00E753DA" w:rsidRPr="009741E4" w:rsidRDefault="00A123C3" w:rsidP="00E70349">
            <w:pPr>
              <w:jc w:val="right"/>
              <w:rPr>
                <w:b/>
              </w:rPr>
            </w:pPr>
            <w:r>
              <w:rPr>
                <w:b/>
              </w:rPr>
              <w:t>14,</w:t>
            </w:r>
            <w:r w:rsidR="00E70349">
              <w:rPr>
                <w:b/>
              </w:rPr>
              <w:t>091</w:t>
            </w:r>
          </w:p>
        </w:tc>
      </w:tr>
      <w:tr w:rsidR="00E753DA" w14:paraId="13701E8B" w14:textId="77777777" w:rsidTr="00582F03">
        <w:trPr>
          <w:trHeight w:val="113"/>
        </w:trPr>
        <w:tc>
          <w:tcPr>
            <w:tcW w:w="3733" w:type="dxa"/>
            <w:tcBorders>
              <w:top w:val="nil"/>
              <w:bottom w:val="nil"/>
              <w:right w:val="nil"/>
            </w:tcBorders>
            <w:shd w:val="clear" w:color="auto" w:fill="auto"/>
            <w:vAlign w:val="center"/>
          </w:tcPr>
          <w:p w14:paraId="13701E87" w14:textId="77777777" w:rsidR="00E753DA" w:rsidRPr="009741E4" w:rsidRDefault="00E753DA" w:rsidP="00F80A0C">
            <w:pPr>
              <w:rPr>
                <w:b/>
              </w:rPr>
            </w:pPr>
          </w:p>
        </w:tc>
        <w:tc>
          <w:tcPr>
            <w:tcW w:w="1793" w:type="dxa"/>
            <w:tcBorders>
              <w:top w:val="single" w:sz="4" w:space="0" w:color="auto"/>
              <w:left w:val="nil"/>
              <w:bottom w:val="nil"/>
              <w:right w:val="nil"/>
            </w:tcBorders>
            <w:shd w:val="clear" w:color="auto" w:fill="auto"/>
            <w:tcMar>
              <w:right w:w="567" w:type="dxa"/>
            </w:tcMar>
            <w:vAlign w:val="center"/>
          </w:tcPr>
          <w:p w14:paraId="13701E88" w14:textId="77777777" w:rsidR="00E753DA" w:rsidRPr="009741E4" w:rsidRDefault="00E753DA" w:rsidP="00F80A0C">
            <w:pPr>
              <w:jc w:val="right"/>
              <w:rPr>
                <w:b/>
              </w:rPr>
            </w:pPr>
          </w:p>
        </w:tc>
        <w:tc>
          <w:tcPr>
            <w:tcW w:w="1793" w:type="dxa"/>
            <w:tcBorders>
              <w:top w:val="single" w:sz="4" w:space="0" w:color="auto"/>
              <w:left w:val="nil"/>
              <w:bottom w:val="nil"/>
              <w:right w:val="nil"/>
            </w:tcBorders>
            <w:shd w:val="clear" w:color="auto" w:fill="auto"/>
            <w:tcMar>
              <w:right w:w="567" w:type="dxa"/>
            </w:tcMar>
            <w:vAlign w:val="center"/>
          </w:tcPr>
          <w:p w14:paraId="13701E89" w14:textId="77777777" w:rsidR="00E753DA" w:rsidRPr="00C374FB" w:rsidRDefault="00E753DA" w:rsidP="00F80A0C">
            <w:pPr>
              <w:jc w:val="right"/>
              <w:rPr>
                <w:b/>
              </w:rPr>
            </w:pPr>
          </w:p>
        </w:tc>
        <w:tc>
          <w:tcPr>
            <w:tcW w:w="1793" w:type="dxa"/>
            <w:tcBorders>
              <w:top w:val="single" w:sz="4" w:space="0" w:color="auto"/>
              <w:left w:val="nil"/>
              <w:bottom w:val="nil"/>
            </w:tcBorders>
            <w:shd w:val="clear" w:color="auto" w:fill="auto"/>
            <w:tcMar>
              <w:right w:w="567" w:type="dxa"/>
            </w:tcMar>
            <w:vAlign w:val="center"/>
          </w:tcPr>
          <w:p w14:paraId="13701E8A" w14:textId="77777777" w:rsidR="00E753DA" w:rsidRDefault="00E753DA" w:rsidP="00F80A0C">
            <w:pPr>
              <w:jc w:val="right"/>
              <w:rPr>
                <w:b/>
              </w:rPr>
            </w:pPr>
          </w:p>
        </w:tc>
      </w:tr>
      <w:tr w:rsidR="00E753DA" w14:paraId="13701E90" w14:textId="77777777" w:rsidTr="00582F03">
        <w:trPr>
          <w:trHeight w:val="397"/>
        </w:trPr>
        <w:tc>
          <w:tcPr>
            <w:tcW w:w="3733" w:type="dxa"/>
            <w:tcBorders>
              <w:top w:val="nil"/>
              <w:bottom w:val="nil"/>
              <w:right w:val="nil"/>
            </w:tcBorders>
            <w:shd w:val="clear" w:color="auto" w:fill="auto"/>
            <w:vAlign w:val="center"/>
          </w:tcPr>
          <w:p w14:paraId="13701E8C" w14:textId="77777777" w:rsidR="00E753DA" w:rsidRPr="00A747C0" w:rsidRDefault="00E753DA" w:rsidP="00F80A0C">
            <w:pPr>
              <w:rPr>
                <w:u w:val="single"/>
              </w:rPr>
            </w:pPr>
            <w:r w:rsidRPr="00A747C0">
              <w:rPr>
                <w:u w:val="single"/>
              </w:rPr>
              <w:t>Funding:</w:t>
            </w:r>
          </w:p>
        </w:tc>
        <w:tc>
          <w:tcPr>
            <w:tcW w:w="1793" w:type="dxa"/>
            <w:tcBorders>
              <w:top w:val="nil"/>
              <w:left w:val="nil"/>
              <w:bottom w:val="nil"/>
              <w:right w:val="nil"/>
            </w:tcBorders>
            <w:shd w:val="clear" w:color="auto" w:fill="auto"/>
            <w:tcMar>
              <w:right w:w="567" w:type="dxa"/>
            </w:tcMar>
            <w:vAlign w:val="center"/>
          </w:tcPr>
          <w:p w14:paraId="13701E8D" w14:textId="77777777" w:rsidR="00E753DA" w:rsidRDefault="00E753DA" w:rsidP="00F80A0C">
            <w:pPr>
              <w:jc w:val="right"/>
            </w:pPr>
          </w:p>
        </w:tc>
        <w:tc>
          <w:tcPr>
            <w:tcW w:w="1793" w:type="dxa"/>
            <w:tcBorders>
              <w:top w:val="nil"/>
              <w:left w:val="nil"/>
              <w:bottom w:val="nil"/>
              <w:right w:val="nil"/>
            </w:tcBorders>
            <w:shd w:val="clear" w:color="auto" w:fill="auto"/>
            <w:tcMar>
              <w:right w:w="567" w:type="dxa"/>
            </w:tcMar>
            <w:vAlign w:val="center"/>
          </w:tcPr>
          <w:p w14:paraId="13701E8E" w14:textId="77777777" w:rsidR="00E753DA" w:rsidRDefault="00E753DA" w:rsidP="00F80A0C">
            <w:pPr>
              <w:jc w:val="right"/>
            </w:pPr>
          </w:p>
        </w:tc>
        <w:tc>
          <w:tcPr>
            <w:tcW w:w="1793" w:type="dxa"/>
            <w:tcBorders>
              <w:top w:val="nil"/>
              <w:left w:val="nil"/>
              <w:bottom w:val="nil"/>
            </w:tcBorders>
            <w:shd w:val="clear" w:color="auto" w:fill="auto"/>
            <w:tcMar>
              <w:right w:w="567" w:type="dxa"/>
            </w:tcMar>
            <w:vAlign w:val="center"/>
          </w:tcPr>
          <w:p w14:paraId="13701E8F" w14:textId="77777777" w:rsidR="00E753DA" w:rsidRDefault="00E753DA" w:rsidP="00F80A0C">
            <w:pPr>
              <w:jc w:val="right"/>
            </w:pPr>
          </w:p>
        </w:tc>
      </w:tr>
      <w:tr w:rsidR="00A123C3" w14:paraId="13701E95" w14:textId="77777777" w:rsidTr="00582F03">
        <w:trPr>
          <w:trHeight w:val="397"/>
        </w:trPr>
        <w:tc>
          <w:tcPr>
            <w:tcW w:w="3733" w:type="dxa"/>
            <w:tcBorders>
              <w:top w:val="nil"/>
              <w:bottom w:val="nil"/>
              <w:right w:val="nil"/>
            </w:tcBorders>
            <w:shd w:val="clear" w:color="auto" w:fill="auto"/>
            <w:vAlign w:val="center"/>
          </w:tcPr>
          <w:p w14:paraId="13701E91" w14:textId="77777777" w:rsidR="00A123C3" w:rsidRDefault="00A123C3" w:rsidP="00A123C3">
            <w:pPr>
              <w:jc w:val="left"/>
            </w:pPr>
            <w:r>
              <w:t xml:space="preserve">  New Homes Bonus – City Deal</w:t>
            </w:r>
          </w:p>
        </w:tc>
        <w:tc>
          <w:tcPr>
            <w:tcW w:w="1793" w:type="dxa"/>
            <w:tcBorders>
              <w:top w:val="nil"/>
              <w:left w:val="nil"/>
              <w:bottom w:val="nil"/>
              <w:right w:val="nil"/>
            </w:tcBorders>
            <w:shd w:val="clear" w:color="auto" w:fill="auto"/>
            <w:tcMar>
              <w:right w:w="567" w:type="dxa"/>
            </w:tcMar>
            <w:vAlign w:val="center"/>
          </w:tcPr>
          <w:p w14:paraId="13701E92" w14:textId="77777777" w:rsidR="00A123C3" w:rsidRDefault="00A123C3" w:rsidP="00A123C3">
            <w:pPr>
              <w:jc w:val="right"/>
            </w:pPr>
            <w:r>
              <w:t>(879)</w:t>
            </w:r>
          </w:p>
        </w:tc>
        <w:tc>
          <w:tcPr>
            <w:tcW w:w="1793" w:type="dxa"/>
            <w:tcBorders>
              <w:top w:val="nil"/>
              <w:left w:val="nil"/>
              <w:bottom w:val="nil"/>
              <w:right w:val="nil"/>
            </w:tcBorders>
            <w:shd w:val="clear" w:color="auto" w:fill="auto"/>
            <w:tcMar>
              <w:right w:w="567" w:type="dxa"/>
            </w:tcMar>
            <w:vAlign w:val="center"/>
          </w:tcPr>
          <w:p w14:paraId="13701E93" w14:textId="77777777" w:rsidR="00A123C3" w:rsidRDefault="00A123C3" w:rsidP="00A123C3">
            <w:pPr>
              <w:jc w:val="right"/>
            </w:pPr>
            <w:r>
              <w:t>0</w:t>
            </w:r>
          </w:p>
        </w:tc>
        <w:tc>
          <w:tcPr>
            <w:tcW w:w="1793" w:type="dxa"/>
            <w:tcBorders>
              <w:top w:val="nil"/>
              <w:left w:val="nil"/>
              <w:bottom w:val="nil"/>
            </w:tcBorders>
            <w:shd w:val="clear" w:color="auto" w:fill="auto"/>
            <w:tcMar>
              <w:right w:w="567" w:type="dxa"/>
            </w:tcMar>
            <w:vAlign w:val="center"/>
          </w:tcPr>
          <w:p w14:paraId="13701E94" w14:textId="77777777" w:rsidR="00A123C3" w:rsidRDefault="00A123C3" w:rsidP="00A123C3">
            <w:pPr>
              <w:jc w:val="right"/>
            </w:pPr>
            <w:r>
              <w:t>(879)</w:t>
            </w:r>
          </w:p>
        </w:tc>
      </w:tr>
      <w:tr w:rsidR="00A123C3" w14:paraId="13701E9A" w14:textId="77777777" w:rsidTr="00582F03">
        <w:trPr>
          <w:trHeight w:val="397"/>
        </w:trPr>
        <w:tc>
          <w:tcPr>
            <w:tcW w:w="3733" w:type="dxa"/>
            <w:tcBorders>
              <w:top w:val="nil"/>
              <w:bottom w:val="nil"/>
              <w:right w:val="nil"/>
            </w:tcBorders>
            <w:shd w:val="clear" w:color="auto" w:fill="auto"/>
            <w:vAlign w:val="center"/>
          </w:tcPr>
          <w:p w14:paraId="13701E96" w14:textId="77777777" w:rsidR="00A123C3" w:rsidRDefault="00A123C3" w:rsidP="00A123C3">
            <w:pPr>
              <w:jc w:val="left"/>
            </w:pPr>
            <w:r>
              <w:t xml:space="preserve">  New Homes Bonus – SRBC</w:t>
            </w:r>
          </w:p>
        </w:tc>
        <w:tc>
          <w:tcPr>
            <w:tcW w:w="1793" w:type="dxa"/>
            <w:tcBorders>
              <w:top w:val="nil"/>
              <w:left w:val="nil"/>
              <w:bottom w:val="nil"/>
              <w:right w:val="nil"/>
            </w:tcBorders>
            <w:shd w:val="clear" w:color="auto" w:fill="auto"/>
            <w:tcMar>
              <w:right w:w="567" w:type="dxa"/>
            </w:tcMar>
            <w:vAlign w:val="center"/>
          </w:tcPr>
          <w:p w14:paraId="13701E97" w14:textId="77777777" w:rsidR="00A123C3" w:rsidRDefault="00A123C3" w:rsidP="00A123C3">
            <w:pPr>
              <w:jc w:val="right"/>
            </w:pPr>
            <w:r>
              <w:t>(135)</w:t>
            </w:r>
          </w:p>
        </w:tc>
        <w:tc>
          <w:tcPr>
            <w:tcW w:w="1793" w:type="dxa"/>
            <w:tcBorders>
              <w:top w:val="nil"/>
              <w:left w:val="nil"/>
              <w:bottom w:val="nil"/>
              <w:right w:val="nil"/>
            </w:tcBorders>
            <w:shd w:val="clear" w:color="auto" w:fill="auto"/>
            <w:tcMar>
              <w:right w:w="567" w:type="dxa"/>
            </w:tcMar>
            <w:vAlign w:val="center"/>
          </w:tcPr>
          <w:p w14:paraId="13701E98" w14:textId="77777777" w:rsidR="00A123C3" w:rsidRDefault="00A123C3" w:rsidP="00A123C3">
            <w:pPr>
              <w:jc w:val="right"/>
            </w:pPr>
            <w:r>
              <w:t>0</w:t>
            </w:r>
          </w:p>
        </w:tc>
        <w:tc>
          <w:tcPr>
            <w:tcW w:w="1793" w:type="dxa"/>
            <w:tcBorders>
              <w:top w:val="nil"/>
              <w:left w:val="nil"/>
              <w:bottom w:val="nil"/>
            </w:tcBorders>
            <w:shd w:val="clear" w:color="auto" w:fill="auto"/>
            <w:tcMar>
              <w:right w:w="567" w:type="dxa"/>
            </w:tcMar>
            <w:vAlign w:val="center"/>
          </w:tcPr>
          <w:p w14:paraId="13701E99" w14:textId="77777777" w:rsidR="00A123C3" w:rsidRDefault="00A123C3" w:rsidP="00A123C3">
            <w:pPr>
              <w:jc w:val="right"/>
            </w:pPr>
            <w:r>
              <w:t>(135)</w:t>
            </w:r>
          </w:p>
        </w:tc>
      </w:tr>
      <w:tr w:rsidR="00A123C3" w14:paraId="13701E9F" w14:textId="77777777" w:rsidTr="00582F03">
        <w:trPr>
          <w:trHeight w:val="397"/>
        </w:trPr>
        <w:tc>
          <w:tcPr>
            <w:tcW w:w="3733" w:type="dxa"/>
            <w:tcBorders>
              <w:top w:val="nil"/>
              <w:bottom w:val="nil"/>
              <w:right w:val="nil"/>
            </w:tcBorders>
            <w:shd w:val="clear" w:color="auto" w:fill="auto"/>
            <w:vAlign w:val="center"/>
          </w:tcPr>
          <w:p w14:paraId="13701E9B" w14:textId="77777777" w:rsidR="00A123C3" w:rsidRDefault="00A123C3" w:rsidP="00A123C3">
            <w:pPr>
              <w:jc w:val="left"/>
            </w:pPr>
            <w:r>
              <w:t xml:space="preserve">  Retained Business Rates</w:t>
            </w:r>
          </w:p>
        </w:tc>
        <w:tc>
          <w:tcPr>
            <w:tcW w:w="1793" w:type="dxa"/>
            <w:tcBorders>
              <w:top w:val="nil"/>
              <w:left w:val="nil"/>
              <w:bottom w:val="nil"/>
              <w:right w:val="nil"/>
            </w:tcBorders>
            <w:shd w:val="clear" w:color="auto" w:fill="auto"/>
            <w:tcMar>
              <w:right w:w="567" w:type="dxa"/>
            </w:tcMar>
            <w:vAlign w:val="center"/>
          </w:tcPr>
          <w:p w14:paraId="13701E9C" w14:textId="77777777" w:rsidR="00A123C3" w:rsidRDefault="00A123C3" w:rsidP="00A123C3">
            <w:pPr>
              <w:jc w:val="right"/>
            </w:pPr>
            <w:r>
              <w:t>(3,950)</w:t>
            </w:r>
          </w:p>
        </w:tc>
        <w:tc>
          <w:tcPr>
            <w:tcW w:w="1793" w:type="dxa"/>
            <w:tcBorders>
              <w:top w:val="nil"/>
              <w:left w:val="nil"/>
              <w:bottom w:val="nil"/>
              <w:right w:val="nil"/>
            </w:tcBorders>
            <w:shd w:val="clear" w:color="auto" w:fill="auto"/>
            <w:tcMar>
              <w:right w:w="567" w:type="dxa"/>
            </w:tcMar>
            <w:vAlign w:val="center"/>
          </w:tcPr>
          <w:p w14:paraId="13701E9D" w14:textId="77777777" w:rsidR="00A123C3" w:rsidRDefault="00A123C3" w:rsidP="00A123C3">
            <w:pPr>
              <w:jc w:val="right"/>
            </w:pPr>
            <w:r>
              <w:t>11</w:t>
            </w:r>
          </w:p>
        </w:tc>
        <w:tc>
          <w:tcPr>
            <w:tcW w:w="1793" w:type="dxa"/>
            <w:tcBorders>
              <w:top w:val="nil"/>
              <w:left w:val="nil"/>
              <w:bottom w:val="nil"/>
            </w:tcBorders>
            <w:shd w:val="clear" w:color="auto" w:fill="auto"/>
            <w:tcMar>
              <w:right w:w="567" w:type="dxa"/>
            </w:tcMar>
            <w:vAlign w:val="center"/>
          </w:tcPr>
          <w:p w14:paraId="13701E9E" w14:textId="77777777" w:rsidR="00A123C3" w:rsidRDefault="00A123C3" w:rsidP="00A123C3">
            <w:pPr>
              <w:jc w:val="right"/>
            </w:pPr>
            <w:r>
              <w:t>(3,939)</w:t>
            </w:r>
          </w:p>
        </w:tc>
      </w:tr>
      <w:tr w:rsidR="00A123C3" w14:paraId="13701EA4" w14:textId="77777777" w:rsidTr="00582F03">
        <w:trPr>
          <w:trHeight w:val="397"/>
        </w:trPr>
        <w:tc>
          <w:tcPr>
            <w:tcW w:w="3733" w:type="dxa"/>
            <w:tcBorders>
              <w:top w:val="nil"/>
              <w:bottom w:val="nil"/>
              <w:right w:val="nil"/>
            </w:tcBorders>
            <w:shd w:val="clear" w:color="auto" w:fill="auto"/>
            <w:vAlign w:val="center"/>
          </w:tcPr>
          <w:p w14:paraId="13701EA0" w14:textId="77777777" w:rsidR="00A123C3" w:rsidRDefault="00A123C3" w:rsidP="00A123C3">
            <w:pPr>
              <w:jc w:val="left"/>
            </w:pPr>
            <w:r>
              <w:t xml:space="preserve">  Business Rates Section 31 grant</w:t>
            </w:r>
          </w:p>
        </w:tc>
        <w:tc>
          <w:tcPr>
            <w:tcW w:w="1793" w:type="dxa"/>
            <w:tcBorders>
              <w:top w:val="nil"/>
              <w:left w:val="nil"/>
              <w:bottom w:val="nil"/>
              <w:right w:val="nil"/>
            </w:tcBorders>
            <w:shd w:val="clear" w:color="auto" w:fill="auto"/>
            <w:tcMar>
              <w:right w:w="567" w:type="dxa"/>
            </w:tcMar>
            <w:vAlign w:val="center"/>
          </w:tcPr>
          <w:p w14:paraId="13701EA1" w14:textId="77777777" w:rsidR="00A123C3" w:rsidRDefault="00A123C3" w:rsidP="00A123C3">
            <w:pPr>
              <w:jc w:val="right"/>
            </w:pPr>
            <w:r>
              <w:t>(1,750)</w:t>
            </w:r>
          </w:p>
        </w:tc>
        <w:tc>
          <w:tcPr>
            <w:tcW w:w="1793" w:type="dxa"/>
            <w:tcBorders>
              <w:top w:val="nil"/>
              <w:left w:val="nil"/>
              <w:bottom w:val="nil"/>
              <w:right w:val="nil"/>
            </w:tcBorders>
            <w:shd w:val="clear" w:color="auto" w:fill="auto"/>
            <w:tcMar>
              <w:right w:w="567" w:type="dxa"/>
            </w:tcMar>
            <w:vAlign w:val="center"/>
          </w:tcPr>
          <w:p w14:paraId="13701EA2" w14:textId="77777777" w:rsidR="00A123C3" w:rsidRDefault="00A123C3" w:rsidP="00A123C3">
            <w:pPr>
              <w:jc w:val="right"/>
            </w:pPr>
            <w:r>
              <w:t>(291)</w:t>
            </w:r>
          </w:p>
        </w:tc>
        <w:tc>
          <w:tcPr>
            <w:tcW w:w="1793" w:type="dxa"/>
            <w:tcBorders>
              <w:top w:val="nil"/>
              <w:left w:val="nil"/>
              <w:bottom w:val="nil"/>
            </w:tcBorders>
            <w:shd w:val="clear" w:color="auto" w:fill="auto"/>
            <w:tcMar>
              <w:right w:w="567" w:type="dxa"/>
            </w:tcMar>
            <w:vAlign w:val="center"/>
          </w:tcPr>
          <w:p w14:paraId="13701EA3" w14:textId="77777777" w:rsidR="00A123C3" w:rsidRDefault="00A123C3" w:rsidP="00A123C3">
            <w:pPr>
              <w:jc w:val="right"/>
            </w:pPr>
            <w:r>
              <w:t>(2,041)</w:t>
            </w:r>
          </w:p>
        </w:tc>
      </w:tr>
      <w:tr w:rsidR="00A123C3" w14:paraId="13701EA9" w14:textId="77777777" w:rsidTr="00582F03">
        <w:trPr>
          <w:trHeight w:val="397"/>
        </w:trPr>
        <w:tc>
          <w:tcPr>
            <w:tcW w:w="3733" w:type="dxa"/>
            <w:tcBorders>
              <w:top w:val="nil"/>
              <w:bottom w:val="nil"/>
              <w:right w:val="nil"/>
            </w:tcBorders>
            <w:shd w:val="clear" w:color="auto" w:fill="auto"/>
            <w:vAlign w:val="center"/>
          </w:tcPr>
          <w:p w14:paraId="13701EA5" w14:textId="77777777" w:rsidR="00A123C3" w:rsidRDefault="00A123C3" w:rsidP="00A123C3">
            <w:pPr>
              <w:jc w:val="left"/>
            </w:pPr>
            <w:r>
              <w:t xml:space="preserve">  Council Tax</w:t>
            </w:r>
          </w:p>
        </w:tc>
        <w:tc>
          <w:tcPr>
            <w:tcW w:w="1793" w:type="dxa"/>
            <w:tcBorders>
              <w:top w:val="nil"/>
              <w:left w:val="nil"/>
              <w:bottom w:val="nil"/>
              <w:right w:val="nil"/>
            </w:tcBorders>
            <w:shd w:val="clear" w:color="auto" w:fill="auto"/>
            <w:tcMar>
              <w:right w:w="567" w:type="dxa"/>
            </w:tcMar>
            <w:vAlign w:val="center"/>
          </w:tcPr>
          <w:p w14:paraId="13701EA6" w14:textId="77777777" w:rsidR="00A123C3" w:rsidRDefault="00A123C3" w:rsidP="00A123C3">
            <w:pPr>
              <w:jc w:val="right"/>
            </w:pPr>
            <w:r>
              <w:t>(8,328)</w:t>
            </w:r>
          </w:p>
        </w:tc>
        <w:tc>
          <w:tcPr>
            <w:tcW w:w="1793" w:type="dxa"/>
            <w:tcBorders>
              <w:top w:val="nil"/>
              <w:left w:val="nil"/>
              <w:bottom w:val="nil"/>
              <w:right w:val="nil"/>
            </w:tcBorders>
            <w:shd w:val="clear" w:color="auto" w:fill="auto"/>
            <w:tcMar>
              <w:right w:w="567" w:type="dxa"/>
            </w:tcMar>
            <w:vAlign w:val="center"/>
          </w:tcPr>
          <w:p w14:paraId="13701EA7" w14:textId="77777777" w:rsidR="00A123C3" w:rsidRDefault="00A123C3" w:rsidP="00A123C3">
            <w:pPr>
              <w:jc w:val="right"/>
            </w:pPr>
            <w:r>
              <w:t>0</w:t>
            </w:r>
          </w:p>
        </w:tc>
        <w:tc>
          <w:tcPr>
            <w:tcW w:w="1793" w:type="dxa"/>
            <w:tcBorders>
              <w:top w:val="nil"/>
              <w:left w:val="nil"/>
              <w:bottom w:val="nil"/>
            </w:tcBorders>
            <w:shd w:val="clear" w:color="auto" w:fill="auto"/>
            <w:tcMar>
              <w:right w:w="567" w:type="dxa"/>
            </w:tcMar>
            <w:vAlign w:val="center"/>
          </w:tcPr>
          <w:p w14:paraId="13701EA8" w14:textId="77777777" w:rsidR="00A123C3" w:rsidRDefault="00A123C3" w:rsidP="00A123C3">
            <w:pPr>
              <w:jc w:val="right"/>
            </w:pPr>
            <w:r>
              <w:t>(8,328)</w:t>
            </w:r>
          </w:p>
        </w:tc>
      </w:tr>
      <w:tr w:rsidR="00A123C3" w14:paraId="13701EAE" w14:textId="77777777" w:rsidTr="00582F03">
        <w:trPr>
          <w:trHeight w:val="397"/>
        </w:trPr>
        <w:tc>
          <w:tcPr>
            <w:tcW w:w="3733" w:type="dxa"/>
            <w:tcBorders>
              <w:top w:val="nil"/>
              <w:bottom w:val="nil"/>
              <w:right w:val="nil"/>
            </w:tcBorders>
            <w:shd w:val="clear" w:color="auto" w:fill="auto"/>
            <w:vAlign w:val="center"/>
          </w:tcPr>
          <w:p w14:paraId="13701EAA" w14:textId="77777777" w:rsidR="00A123C3" w:rsidRPr="004B46C7" w:rsidRDefault="00A123C3" w:rsidP="00A123C3">
            <w:pPr>
              <w:jc w:val="left"/>
            </w:pPr>
            <w:r>
              <w:t xml:space="preserve">  </w:t>
            </w:r>
            <w:r w:rsidRPr="004B46C7">
              <w:t>Contribution to/(from) reserves</w:t>
            </w:r>
          </w:p>
        </w:tc>
        <w:tc>
          <w:tcPr>
            <w:tcW w:w="1793" w:type="dxa"/>
            <w:tcBorders>
              <w:top w:val="nil"/>
              <w:left w:val="nil"/>
              <w:bottom w:val="single" w:sz="4" w:space="0" w:color="auto"/>
              <w:right w:val="nil"/>
            </w:tcBorders>
            <w:shd w:val="clear" w:color="auto" w:fill="auto"/>
            <w:tcMar>
              <w:right w:w="567" w:type="dxa"/>
            </w:tcMar>
            <w:vAlign w:val="center"/>
          </w:tcPr>
          <w:p w14:paraId="13701EAB" w14:textId="77777777" w:rsidR="00A123C3" w:rsidRPr="004B46C7" w:rsidRDefault="00A123C3" w:rsidP="00A123C3">
            <w:pPr>
              <w:jc w:val="right"/>
            </w:pPr>
            <w:r>
              <w:t>550</w:t>
            </w:r>
          </w:p>
        </w:tc>
        <w:tc>
          <w:tcPr>
            <w:tcW w:w="1793" w:type="dxa"/>
            <w:tcBorders>
              <w:top w:val="nil"/>
              <w:left w:val="nil"/>
              <w:bottom w:val="single" w:sz="4" w:space="0" w:color="auto"/>
              <w:right w:val="nil"/>
            </w:tcBorders>
            <w:shd w:val="clear" w:color="auto" w:fill="auto"/>
            <w:tcMar>
              <w:right w:w="567" w:type="dxa"/>
            </w:tcMar>
            <w:vAlign w:val="center"/>
          </w:tcPr>
          <w:p w14:paraId="13701EAC" w14:textId="77777777" w:rsidR="00A123C3" w:rsidRDefault="00A123C3" w:rsidP="00A123C3">
            <w:pPr>
              <w:jc w:val="right"/>
            </w:pPr>
            <w:r>
              <w:t>0</w:t>
            </w:r>
          </w:p>
        </w:tc>
        <w:tc>
          <w:tcPr>
            <w:tcW w:w="1793" w:type="dxa"/>
            <w:tcBorders>
              <w:top w:val="nil"/>
              <w:left w:val="nil"/>
              <w:bottom w:val="single" w:sz="4" w:space="0" w:color="auto"/>
            </w:tcBorders>
            <w:shd w:val="clear" w:color="auto" w:fill="auto"/>
            <w:tcMar>
              <w:right w:w="567" w:type="dxa"/>
            </w:tcMar>
            <w:vAlign w:val="center"/>
          </w:tcPr>
          <w:p w14:paraId="13701EAD" w14:textId="77777777" w:rsidR="00A123C3" w:rsidRPr="004B46C7" w:rsidRDefault="00A123C3" w:rsidP="00A123C3">
            <w:pPr>
              <w:jc w:val="right"/>
            </w:pPr>
            <w:r>
              <w:t>550</w:t>
            </w:r>
          </w:p>
        </w:tc>
      </w:tr>
      <w:tr w:rsidR="00A123C3" w14:paraId="13701EB3" w14:textId="77777777" w:rsidTr="00582F03">
        <w:trPr>
          <w:trHeight w:val="397"/>
        </w:trPr>
        <w:tc>
          <w:tcPr>
            <w:tcW w:w="3733" w:type="dxa"/>
            <w:tcBorders>
              <w:top w:val="nil"/>
              <w:bottom w:val="nil"/>
              <w:right w:val="nil"/>
            </w:tcBorders>
            <w:shd w:val="clear" w:color="auto" w:fill="auto"/>
            <w:vAlign w:val="center"/>
          </w:tcPr>
          <w:p w14:paraId="13701EAF" w14:textId="77777777" w:rsidR="00A123C3" w:rsidRPr="009741E4" w:rsidRDefault="00A123C3" w:rsidP="00A123C3">
            <w:pPr>
              <w:rPr>
                <w:b/>
              </w:rPr>
            </w:pPr>
            <w:r w:rsidRPr="009741E4">
              <w:rPr>
                <w:b/>
              </w:rPr>
              <w:t>Total Funding</w:t>
            </w:r>
          </w:p>
        </w:tc>
        <w:tc>
          <w:tcPr>
            <w:tcW w:w="1793" w:type="dxa"/>
            <w:tcBorders>
              <w:top w:val="single" w:sz="4" w:space="0" w:color="auto"/>
              <w:left w:val="nil"/>
              <w:bottom w:val="single" w:sz="4" w:space="0" w:color="auto"/>
              <w:right w:val="nil"/>
            </w:tcBorders>
            <w:shd w:val="clear" w:color="auto" w:fill="auto"/>
            <w:tcMar>
              <w:right w:w="567" w:type="dxa"/>
            </w:tcMar>
            <w:vAlign w:val="center"/>
          </w:tcPr>
          <w:p w14:paraId="13701EB0" w14:textId="77777777" w:rsidR="00A123C3" w:rsidRPr="00F100F2" w:rsidRDefault="00A123C3" w:rsidP="00A123C3">
            <w:pPr>
              <w:jc w:val="right"/>
              <w:rPr>
                <w:b/>
              </w:rPr>
            </w:pPr>
            <w:r w:rsidRPr="00F100F2">
              <w:rPr>
                <w:b/>
              </w:rPr>
              <w:t>(14,492)</w:t>
            </w:r>
          </w:p>
        </w:tc>
        <w:tc>
          <w:tcPr>
            <w:tcW w:w="1793" w:type="dxa"/>
            <w:tcBorders>
              <w:top w:val="single" w:sz="4" w:space="0" w:color="auto"/>
              <w:left w:val="nil"/>
              <w:bottom w:val="single" w:sz="4" w:space="0" w:color="auto"/>
              <w:right w:val="nil"/>
            </w:tcBorders>
            <w:shd w:val="clear" w:color="auto" w:fill="auto"/>
            <w:tcMar>
              <w:right w:w="567" w:type="dxa"/>
            </w:tcMar>
            <w:vAlign w:val="center"/>
          </w:tcPr>
          <w:p w14:paraId="13701EB1" w14:textId="77777777" w:rsidR="00A123C3" w:rsidRPr="00C374FB" w:rsidRDefault="00A123C3" w:rsidP="00A123C3">
            <w:pPr>
              <w:jc w:val="right"/>
              <w:rPr>
                <w:b/>
              </w:rPr>
            </w:pPr>
            <w:r>
              <w:rPr>
                <w:b/>
              </w:rPr>
              <w:t>(280)</w:t>
            </w:r>
          </w:p>
        </w:tc>
        <w:tc>
          <w:tcPr>
            <w:tcW w:w="1793" w:type="dxa"/>
            <w:tcBorders>
              <w:top w:val="single" w:sz="4" w:space="0" w:color="auto"/>
              <w:left w:val="nil"/>
              <w:bottom w:val="single" w:sz="4" w:space="0" w:color="auto"/>
            </w:tcBorders>
            <w:shd w:val="clear" w:color="auto" w:fill="auto"/>
            <w:tcMar>
              <w:right w:w="567" w:type="dxa"/>
            </w:tcMar>
            <w:vAlign w:val="center"/>
          </w:tcPr>
          <w:p w14:paraId="13701EB2" w14:textId="77777777" w:rsidR="00A123C3" w:rsidRPr="009741E4" w:rsidRDefault="00A123C3" w:rsidP="00A123C3">
            <w:pPr>
              <w:jc w:val="right"/>
              <w:rPr>
                <w:b/>
              </w:rPr>
            </w:pPr>
            <w:r>
              <w:rPr>
                <w:b/>
              </w:rPr>
              <w:t>14,772</w:t>
            </w:r>
          </w:p>
        </w:tc>
      </w:tr>
      <w:tr w:rsidR="00A123C3" w14:paraId="13701EB8" w14:textId="77777777" w:rsidTr="00582F03">
        <w:trPr>
          <w:trHeight w:val="113"/>
        </w:trPr>
        <w:tc>
          <w:tcPr>
            <w:tcW w:w="3733" w:type="dxa"/>
            <w:tcBorders>
              <w:top w:val="nil"/>
              <w:bottom w:val="nil"/>
              <w:right w:val="nil"/>
            </w:tcBorders>
            <w:shd w:val="clear" w:color="auto" w:fill="auto"/>
            <w:vAlign w:val="center"/>
          </w:tcPr>
          <w:p w14:paraId="13701EB4" w14:textId="77777777" w:rsidR="00A123C3" w:rsidRDefault="00A123C3" w:rsidP="00A123C3"/>
        </w:tc>
        <w:tc>
          <w:tcPr>
            <w:tcW w:w="1793" w:type="dxa"/>
            <w:tcBorders>
              <w:top w:val="single" w:sz="4" w:space="0" w:color="auto"/>
              <w:left w:val="nil"/>
              <w:bottom w:val="single" w:sz="4" w:space="0" w:color="auto"/>
              <w:right w:val="nil"/>
            </w:tcBorders>
            <w:shd w:val="clear" w:color="auto" w:fill="auto"/>
            <w:tcMar>
              <w:right w:w="567" w:type="dxa"/>
            </w:tcMar>
            <w:vAlign w:val="center"/>
          </w:tcPr>
          <w:p w14:paraId="13701EB5" w14:textId="77777777" w:rsidR="00A123C3" w:rsidRDefault="00A123C3" w:rsidP="00A123C3">
            <w:pPr>
              <w:jc w:val="right"/>
            </w:pPr>
          </w:p>
        </w:tc>
        <w:tc>
          <w:tcPr>
            <w:tcW w:w="1793" w:type="dxa"/>
            <w:tcBorders>
              <w:top w:val="single" w:sz="4" w:space="0" w:color="auto"/>
              <w:left w:val="nil"/>
              <w:bottom w:val="single" w:sz="4" w:space="0" w:color="auto"/>
              <w:right w:val="nil"/>
            </w:tcBorders>
            <w:shd w:val="clear" w:color="auto" w:fill="auto"/>
            <w:tcMar>
              <w:right w:w="567" w:type="dxa"/>
            </w:tcMar>
            <w:vAlign w:val="center"/>
          </w:tcPr>
          <w:p w14:paraId="13701EB6" w14:textId="77777777" w:rsidR="00A123C3" w:rsidRDefault="00A123C3" w:rsidP="00A123C3">
            <w:pPr>
              <w:jc w:val="right"/>
            </w:pPr>
          </w:p>
        </w:tc>
        <w:tc>
          <w:tcPr>
            <w:tcW w:w="1793" w:type="dxa"/>
            <w:tcBorders>
              <w:top w:val="single" w:sz="4" w:space="0" w:color="auto"/>
              <w:left w:val="nil"/>
              <w:bottom w:val="single" w:sz="4" w:space="0" w:color="auto"/>
            </w:tcBorders>
            <w:shd w:val="clear" w:color="auto" w:fill="auto"/>
            <w:tcMar>
              <w:right w:w="567" w:type="dxa"/>
            </w:tcMar>
            <w:vAlign w:val="center"/>
          </w:tcPr>
          <w:p w14:paraId="13701EB7" w14:textId="77777777" w:rsidR="00A123C3" w:rsidRDefault="00A123C3" w:rsidP="00A123C3">
            <w:pPr>
              <w:jc w:val="right"/>
            </w:pPr>
          </w:p>
        </w:tc>
      </w:tr>
      <w:tr w:rsidR="00A123C3" w:rsidRPr="009741E4" w14:paraId="13701EBD" w14:textId="77777777" w:rsidTr="00582F03">
        <w:trPr>
          <w:trHeight w:val="397"/>
        </w:trPr>
        <w:tc>
          <w:tcPr>
            <w:tcW w:w="3733" w:type="dxa"/>
            <w:tcBorders>
              <w:top w:val="nil"/>
              <w:bottom w:val="single" w:sz="4" w:space="0" w:color="auto"/>
              <w:right w:val="nil"/>
            </w:tcBorders>
            <w:shd w:val="clear" w:color="auto" w:fill="auto"/>
            <w:vAlign w:val="center"/>
          </w:tcPr>
          <w:p w14:paraId="13701EB9" w14:textId="77777777" w:rsidR="00A123C3" w:rsidRPr="009741E4" w:rsidRDefault="00A123C3" w:rsidP="00A123C3">
            <w:pPr>
              <w:rPr>
                <w:b/>
              </w:rPr>
            </w:pPr>
            <w:r w:rsidRPr="009741E4">
              <w:rPr>
                <w:b/>
              </w:rPr>
              <w:t>Net (Surplus) Deficit</w:t>
            </w:r>
          </w:p>
        </w:tc>
        <w:tc>
          <w:tcPr>
            <w:tcW w:w="1793" w:type="dxa"/>
            <w:tcBorders>
              <w:top w:val="single" w:sz="4" w:space="0" w:color="auto"/>
              <w:left w:val="nil"/>
              <w:bottom w:val="single" w:sz="4" w:space="0" w:color="auto"/>
              <w:right w:val="nil"/>
            </w:tcBorders>
            <w:shd w:val="clear" w:color="auto" w:fill="auto"/>
            <w:tcMar>
              <w:right w:w="567" w:type="dxa"/>
            </w:tcMar>
            <w:vAlign w:val="center"/>
          </w:tcPr>
          <w:p w14:paraId="13701EBA" w14:textId="77777777" w:rsidR="00A123C3" w:rsidRPr="009741E4" w:rsidRDefault="00A123C3" w:rsidP="00A123C3">
            <w:pPr>
              <w:jc w:val="right"/>
              <w:rPr>
                <w:b/>
              </w:rPr>
            </w:pPr>
            <w:r>
              <w:rPr>
                <w:b/>
              </w:rPr>
              <w:t>0</w:t>
            </w:r>
          </w:p>
        </w:tc>
        <w:tc>
          <w:tcPr>
            <w:tcW w:w="1793" w:type="dxa"/>
            <w:tcBorders>
              <w:top w:val="single" w:sz="4" w:space="0" w:color="auto"/>
              <w:left w:val="nil"/>
              <w:bottom w:val="single" w:sz="4" w:space="0" w:color="auto"/>
              <w:right w:val="nil"/>
            </w:tcBorders>
            <w:shd w:val="clear" w:color="auto" w:fill="auto"/>
            <w:tcMar>
              <w:right w:w="567" w:type="dxa"/>
            </w:tcMar>
            <w:vAlign w:val="center"/>
          </w:tcPr>
          <w:p w14:paraId="13701EBB" w14:textId="77777777" w:rsidR="00A123C3" w:rsidRPr="009741E4" w:rsidRDefault="00A123C3" w:rsidP="00E70349">
            <w:pPr>
              <w:jc w:val="right"/>
              <w:rPr>
                <w:b/>
              </w:rPr>
            </w:pPr>
            <w:r>
              <w:rPr>
                <w:b/>
              </w:rPr>
              <w:t>(6</w:t>
            </w:r>
            <w:r w:rsidR="00E70349">
              <w:rPr>
                <w:b/>
              </w:rPr>
              <w:t>8</w:t>
            </w:r>
            <w:r w:rsidR="00A42D20">
              <w:rPr>
                <w:b/>
              </w:rPr>
              <w:t>1</w:t>
            </w:r>
            <w:r>
              <w:rPr>
                <w:b/>
              </w:rPr>
              <w:t>)</w:t>
            </w:r>
          </w:p>
        </w:tc>
        <w:tc>
          <w:tcPr>
            <w:tcW w:w="1793" w:type="dxa"/>
            <w:tcBorders>
              <w:top w:val="single" w:sz="4" w:space="0" w:color="auto"/>
              <w:left w:val="nil"/>
              <w:bottom w:val="single" w:sz="4" w:space="0" w:color="auto"/>
            </w:tcBorders>
            <w:shd w:val="clear" w:color="auto" w:fill="auto"/>
            <w:tcMar>
              <w:right w:w="567" w:type="dxa"/>
            </w:tcMar>
            <w:vAlign w:val="center"/>
          </w:tcPr>
          <w:p w14:paraId="13701EBC" w14:textId="77777777" w:rsidR="00A123C3" w:rsidRPr="009741E4" w:rsidRDefault="00A123C3" w:rsidP="00E70349">
            <w:pPr>
              <w:jc w:val="right"/>
              <w:rPr>
                <w:b/>
              </w:rPr>
            </w:pPr>
            <w:r>
              <w:rPr>
                <w:b/>
              </w:rPr>
              <w:t>(6</w:t>
            </w:r>
            <w:r w:rsidR="00E70349">
              <w:rPr>
                <w:b/>
              </w:rPr>
              <w:t>8</w:t>
            </w:r>
            <w:r w:rsidR="00A42D20">
              <w:rPr>
                <w:b/>
              </w:rPr>
              <w:t>1</w:t>
            </w:r>
            <w:r>
              <w:rPr>
                <w:b/>
              </w:rPr>
              <w:t>)</w:t>
            </w:r>
          </w:p>
        </w:tc>
      </w:tr>
    </w:tbl>
    <w:p w14:paraId="13701EBE" w14:textId="77777777" w:rsidR="00A42D20" w:rsidRDefault="00A42D20" w:rsidP="00582F03"/>
    <w:p w14:paraId="13701EBF" w14:textId="77777777" w:rsidR="00031B88" w:rsidRDefault="00031B88" w:rsidP="00582F03">
      <w:pPr>
        <w:pStyle w:val="Heading3"/>
        <w:ind w:firstLine="0"/>
      </w:pPr>
    </w:p>
    <w:p w14:paraId="13701EC0" w14:textId="77777777" w:rsidR="0044081D" w:rsidRPr="0044081D" w:rsidRDefault="0044081D" w:rsidP="00582F03">
      <w:pPr>
        <w:pStyle w:val="Heading3"/>
        <w:ind w:firstLine="0"/>
      </w:pPr>
      <w:r w:rsidRPr="0044081D">
        <w:lastRenderedPageBreak/>
        <w:t xml:space="preserve">Table 2: Projected Revenue Outturn Variations at </w:t>
      </w:r>
      <w:r w:rsidR="00967A3C">
        <w:t>Period 4 (July) 2</w:t>
      </w:r>
      <w:r w:rsidRPr="0044081D">
        <w:t>01</w:t>
      </w:r>
      <w:r>
        <w:t>9</w:t>
      </w:r>
      <w:r w:rsidRPr="0044081D">
        <w:t>/</w:t>
      </w:r>
      <w:r>
        <w:t>20</w:t>
      </w:r>
    </w:p>
    <w:p w14:paraId="13701EC1" w14:textId="77777777" w:rsidR="0044081D" w:rsidRDefault="0044081D" w:rsidP="00582F03">
      <w:pPr>
        <w:ind w:left="244"/>
      </w:pPr>
    </w:p>
    <w:tbl>
      <w:tblPr>
        <w:tblStyle w:val="TableGrid"/>
        <w:tblW w:w="0" w:type="auto"/>
        <w:tblInd w:w="308" w:type="dxa"/>
        <w:tblBorders>
          <w:insideH w:val="none" w:sz="0" w:space="0" w:color="auto"/>
          <w:insideV w:val="none" w:sz="0" w:space="0" w:color="auto"/>
        </w:tblBorders>
        <w:tblLook w:val="04A0" w:firstRow="1" w:lastRow="0" w:firstColumn="1" w:lastColumn="0" w:noHBand="0" w:noVBand="1"/>
      </w:tblPr>
      <w:tblGrid>
        <w:gridCol w:w="5954"/>
        <w:gridCol w:w="1418"/>
        <w:gridCol w:w="170"/>
        <w:gridCol w:w="1247"/>
      </w:tblGrid>
      <w:tr w:rsidR="00BD7D18" w14:paraId="13701EC7" w14:textId="77777777" w:rsidTr="00582F03">
        <w:tc>
          <w:tcPr>
            <w:tcW w:w="5954" w:type="dxa"/>
            <w:tcBorders>
              <w:top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13701EC2" w14:textId="77777777" w:rsidR="00BD7D18" w:rsidRDefault="00BD7D18" w:rsidP="002B758F">
            <w:pPr>
              <w:jc w:val="left"/>
            </w:pPr>
            <w:r w:rsidRPr="0002287D">
              <w:rPr>
                <w:b/>
              </w:rPr>
              <w:t>Detail</w:t>
            </w:r>
          </w:p>
        </w:tc>
        <w:tc>
          <w:tcPr>
            <w:tcW w:w="1418" w:type="dxa"/>
            <w:tcBorders>
              <w:top w:val="single" w:sz="4" w:space="0" w:color="auto"/>
              <w:bottom w:val="single" w:sz="4" w:space="0" w:color="auto"/>
              <w:right w:val="single" w:sz="4" w:space="0" w:color="auto"/>
            </w:tcBorders>
            <w:shd w:val="clear" w:color="auto" w:fill="D9D9D9" w:themeFill="background1" w:themeFillShade="D9"/>
          </w:tcPr>
          <w:p w14:paraId="13701EC3" w14:textId="77777777" w:rsidR="00BD7D18" w:rsidRPr="0002287D" w:rsidRDefault="00BD7D18" w:rsidP="00B21A3E">
            <w:pPr>
              <w:jc w:val="center"/>
              <w:rPr>
                <w:b/>
                <w:szCs w:val="22"/>
              </w:rPr>
            </w:pPr>
            <w:r w:rsidRPr="0002287D">
              <w:rPr>
                <w:b/>
                <w:szCs w:val="22"/>
              </w:rPr>
              <w:t>Budget pressure / (saving)</w:t>
            </w:r>
          </w:p>
          <w:p w14:paraId="13701EC4" w14:textId="77777777" w:rsidR="00BD7D18" w:rsidRPr="0002287D" w:rsidRDefault="00BD7D18" w:rsidP="00B21A3E">
            <w:pPr>
              <w:jc w:val="center"/>
              <w:rPr>
                <w:b/>
                <w:szCs w:val="22"/>
              </w:rPr>
            </w:pPr>
            <w:r w:rsidRPr="0002287D">
              <w:rPr>
                <w:b/>
                <w:szCs w:val="22"/>
              </w:rPr>
              <w:t>£’000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701EC5" w14:textId="77777777" w:rsidR="00BD7D18" w:rsidRDefault="00BD7D18" w:rsidP="00B21A3E">
            <w:pPr>
              <w:jc w:val="center"/>
              <w:rPr>
                <w:b/>
              </w:rPr>
            </w:pPr>
            <w:r w:rsidRPr="008B1229">
              <w:rPr>
                <w:b/>
              </w:rPr>
              <w:t xml:space="preserve">Forecast Variances at </w:t>
            </w:r>
            <w:r>
              <w:rPr>
                <w:b/>
              </w:rPr>
              <w:t>period 4</w:t>
            </w:r>
          </w:p>
          <w:p w14:paraId="13701EC6" w14:textId="77777777" w:rsidR="00BD7D18" w:rsidRPr="008B1229" w:rsidRDefault="00BD7D18" w:rsidP="00B21A3E">
            <w:pPr>
              <w:jc w:val="center"/>
              <w:rPr>
                <w:b/>
              </w:rPr>
            </w:pPr>
            <w:r w:rsidRPr="008B1229">
              <w:rPr>
                <w:b/>
              </w:rPr>
              <w:t>£’000</w:t>
            </w:r>
          </w:p>
        </w:tc>
      </w:tr>
      <w:tr w:rsidR="002B758F" w:rsidRPr="00017022" w14:paraId="13701ECC" w14:textId="77777777" w:rsidTr="00582F03">
        <w:tc>
          <w:tcPr>
            <w:tcW w:w="5954" w:type="dxa"/>
            <w:tcBorders>
              <w:top w:val="single" w:sz="4" w:space="0" w:color="auto"/>
              <w:bottom w:val="nil"/>
              <w:right w:val="single" w:sz="4" w:space="0" w:color="BFBFBF" w:themeColor="background1" w:themeShade="BF"/>
            </w:tcBorders>
            <w:tcMar>
              <w:left w:w="57" w:type="dxa"/>
              <w:right w:w="57" w:type="dxa"/>
            </w:tcMar>
            <w:vAlign w:val="center"/>
          </w:tcPr>
          <w:p w14:paraId="13701EC8" w14:textId="77777777" w:rsidR="00BD7D18" w:rsidRPr="00017022" w:rsidRDefault="00BD7D18" w:rsidP="00B21A3E">
            <w:pPr>
              <w:rPr>
                <w:b/>
              </w:rPr>
            </w:pPr>
            <w:r w:rsidRPr="00017022">
              <w:rPr>
                <w:b/>
              </w:rPr>
              <w:t>Chief Executive</w:t>
            </w:r>
          </w:p>
        </w:tc>
        <w:tc>
          <w:tcPr>
            <w:tcW w:w="1418" w:type="dxa"/>
            <w:tcBorders>
              <w:top w:val="single" w:sz="4" w:space="0" w:color="auto"/>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EC9" w14:textId="77777777" w:rsidR="00BD7D18" w:rsidRPr="00017022" w:rsidRDefault="00BD7D18" w:rsidP="00B21A3E">
            <w:pPr>
              <w:jc w:val="right"/>
              <w:rPr>
                <w:b/>
              </w:rPr>
            </w:pPr>
          </w:p>
        </w:tc>
        <w:tc>
          <w:tcPr>
            <w:tcW w:w="170" w:type="dxa"/>
            <w:tcBorders>
              <w:top w:val="single" w:sz="4" w:space="0" w:color="auto"/>
              <w:left w:val="single" w:sz="4" w:space="0" w:color="BFBFBF" w:themeColor="background1" w:themeShade="BF"/>
              <w:bottom w:val="nil"/>
              <w:right w:val="nil"/>
            </w:tcBorders>
            <w:tcMar>
              <w:left w:w="57" w:type="dxa"/>
              <w:right w:w="57" w:type="dxa"/>
            </w:tcMar>
          </w:tcPr>
          <w:p w14:paraId="13701ECA" w14:textId="77777777" w:rsidR="00BD7D18" w:rsidRPr="00017022" w:rsidRDefault="00BD7D18" w:rsidP="00B21A3E">
            <w:pPr>
              <w:jc w:val="right"/>
              <w:rPr>
                <w:b/>
              </w:rPr>
            </w:pPr>
          </w:p>
        </w:tc>
        <w:tc>
          <w:tcPr>
            <w:tcW w:w="1247" w:type="dxa"/>
            <w:tcBorders>
              <w:top w:val="single" w:sz="4" w:space="0" w:color="auto"/>
              <w:left w:val="nil"/>
              <w:bottom w:val="nil"/>
            </w:tcBorders>
            <w:tcMar>
              <w:left w:w="57" w:type="dxa"/>
              <w:right w:w="284" w:type="dxa"/>
            </w:tcMar>
            <w:vAlign w:val="center"/>
          </w:tcPr>
          <w:p w14:paraId="13701ECB" w14:textId="77777777" w:rsidR="00BD7D18" w:rsidRPr="00017022" w:rsidRDefault="00BD7D18" w:rsidP="00B21A3E">
            <w:pPr>
              <w:jc w:val="right"/>
              <w:rPr>
                <w:b/>
              </w:rPr>
            </w:pPr>
          </w:p>
        </w:tc>
      </w:tr>
      <w:tr w:rsidR="002B758F" w14:paraId="13701ED1"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ECD" w14:textId="77777777" w:rsidR="00BD7D18" w:rsidRPr="0002287D" w:rsidRDefault="00BD7D18" w:rsidP="00B21A3E">
            <w:pPr>
              <w:jc w:val="left"/>
            </w:pPr>
            <w:r w:rsidRPr="0002287D">
              <w:t>Staffing Variances</w:t>
            </w: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ECE" w14:textId="77777777" w:rsidR="00BD7D18" w:rsidRPr="0002287D" w:rsidRDefault="00036D6D" w:rsidP="00B21A3E">
            <w:pPr>
              <w:jc w:val="right"/>
              <w:rPr>
                <w:szCs w:val="22"/>
              </w:rPr>
            </w:pPr>
            <w:r>
              <w:rPr>
                <w:szCs w:val="22"/>
              </w:rPr>
              <w:t>8</w:t>
            </w:r>
          </w:p>
        </w:tc>
        <w:tc>
          <w:tcPr>
            <w:tcW w:w="170" w:type="dxa"/>
            <w:tcBorders>
              <w:top w:val="nil"/>
              <w:left w:val="single" w:sz="4" w:space="0" w:color="BFBFBF" w:themeColor="background1" w:themeShade="BF"/>
              <w:bottom w:val="nil"/>
              <w:right w:val="nil"/>
            </w:tcBorders>
            <w:tcMar>
              <w:left w:w="57" w:type="dxa"/>
              <w:right w:w="57" w:type="dxa"/>
            </w:tcMar>
          </w:tcPr>
          <w:p w14:paraId="13701ECF" w14:textId="77777777" w:rsidR="00BD7D18" w:rsidRDefault="00BD7D18" w:rsidP="00B21A3E">
            <w:pPr>
              <w:jc w:val="right"/>
            </w:pPr>
          </w:p>
        </w:tc>
        <w:tc>
          <w:tcPr>
            <w:tcW w:w="1247" w:type="dxa"/>
            <w:tcBorders>
              <w:top w:val="nil"/>
              <w:left w:val="nil"/>
              <w:bottom w:val="nil"/>
            </w:tcBorders>
            <w:tcMar>
              <w:left w:w="57" w:type="dxa"/>
              <w:right w:w="284" w:type="dxa"/>
            </w:tcMar>
            <w:vAlign w:val="center"/>
          </w:tcPr>
          <w:p w14:paraId="13701ED0" w14:textId="77777777" w:rsidR="00BD7D18" w:rsidRDefault="00BD7D18" w:rsidP="00B21A3E">
            <w:pPr>
              <w:jc w:val="right"/>
            </w:pPr>
            <w:r>
              <w:t>8</w:t>
            </w:r>
          </w:p>
        </w:tc>
      </w:tr>
      <w:tr w:rsidR="002B758F" w14:paraId="13701ED6"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ED2" w14:textId="77777777" w:rsidR="00BD7D18" w:rsidRPr="0002287D" w:rsidRDefault="00BD7D18" w:rsidP="00B21A3E">
            <w:pPr>
              <w:jc w:val="left"/>
            </w:pP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ED3" w14:textId="77777777" w:rsidR="00BD7D18" w:rsidRPr="0002287D" w:rsidRDefault="00BD7D18" w:rsidP="00B21A3E">
            <w:pPr>
              <w:jc w:val="right"/>
              <w:rPr>
                <w:szCs w:val="22"/>
              </w:rPr>
            </w:pPr>
          </w:p>
        </w:tc>
        <w:tc>
          <w:tcPr>
            <w:tcW w:w="170" w:type="dxa"/>
            <w:tcBorders>
              <w:top w:val="nil"/>
              <w:left w:val="single" w:sz="4" w:space="0" w:color="BFBFBF" w:themeColor="background1" w:themeShade="BF"/>
              <w:bottom w:val="nil"/>
              <w:right w:val="nil"/>
            </w:tcBorders>
            <w:tcMar>
              <w:left w:w="57" w:type="dxa"/>
              <w:right w:w="57" w:type="dxa"/>
            </w:tcMar>
          </w:tcPr>
          <w:p w14:paraId="13701ED4" w14:textId="77777777" w:rsidR="00BD7D18" w:rsidRDefault="00BD7D18" w:rsidP="00B21A3E">
            <w:pPr>
              <w:jc w:val="right"/>
            </w:pPr>
          </w:p>
        </w:tc>
        <w:tc>
          <w:tcPr>
            <w:tcW w:w="1247" w:type="dxa"/>
            <w:tcBorders>
              <w:top w:val="nil"/>
              <w:left w:val="nil"/>
              <w:bottom w:val="nil"/>
            </w:tcBorders>
            <w:tcMar>
              <w:left w:w="57" w:type="dxa"/>
              <w:right w:w="284" w:type="dxa"/>
            </w:tcMar>
            <w:vAlign w:val="center"/>
          </w:tcPr>
          <w:p w14:paraId="13701ED5" w14:textId="77777777" w:rsidR="00BD7D18" w:rsidRDefault="00BD7D18" w:rsidP="00B21A3E">
            <w:pPr>
              <w:jc w:val="right"/>
            </w:pPr>
          </w:p>
        </w:tc>
      </w:tr>
      <w:tr w:rsidR="002B758F" w:rsidRPr="00017022" w14:paraId="13701EDB"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ED7" w14:textId="77777777" w:rsidR="00BD7D18" w:rsidRPr="00017022" w:rsidRDefault="00BD7D18" w:rsidP="00B21A3E">
            <w:pPr>
              <w:rPr>
                <w:b/>
              </w:rPr>
            </w:pPr>
            <w:r w:rsidRPr="00017022">
              <w:rPr>
                <w:b/>
              </w:rPr>
              <w:t>Neighbourhoods &amp; Development</w:t>
            </w: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ED8" w14:textId="77777777" w:rsidR="00BD7D18" w:rsidRPr="0002287D" w:rsidRDefault="00BD7D18" w:rsidP="00B21A3E">
            <w:pPr>
              <w:jc w:val="right"/>
              <w:rPr>
                <w:szCs w:val="22"/>
              </w:rPr>
            </w:pPr>
          </w:p>
        </w:tc>
        <w:tc>
          <w:tcPr>
            <w:tcW w:w="170" w:type="dxa"/>
            <w:tcBorders>
              <w:top w:val="nil"/>
              <w:left w:val="single" w:sz="4" w:space="0" w:color="BFBFBF" w:themeColor="background1" w:themeShade="BF"/>
              <w:bottom w:val="nil"/>
              <w:right w:val="nil"/>
            </w:tcBorders>
            <w:tcMar>
              <w:left w:w="57" w:type="dxa"/>
              <w:right w:w="57" w:type="dxa"/>
            </w:tcMar>
          </w:tcPr>
          <w:p w14:paraId="13701ED9" w14:textId="77777777" w:rsidR="00BD7D18" w:rsidRDefault="00BD7D18" w:rsidP="00B21A3E">
            <w:pPr>
              <w:jc w:val="right"/>
            </w:pPr>
          </w:p>
        </w:tc>
        <w:tc>
          <w:tcPr>
            <w:tcW w:w="1247" w:type="dxa"/>
            <w:tcBorders>
              <w:top w:val="nil"/>
              <w:left w:val="nil"/>
              <w:bottom w:val="nil"/>
            </w:tcBorders>
            <w:tcMar>
              <w:left w:w="57" w:type="dxa"/>
              <w:right w:w="284" w:type="dxa"/>
            </w:tcMar>
            <w:vAlign w:val="center"/>
          </w:tcPr>
          <w:p w14:paraId="13701EDA" w14:textId="77777777" w:rsidR="00BD7D18" w:rsidRDefault="00BD7D18" w:rsidP="00B21A3E">
            <w:pPr>
              <w:jc w:val="right"/>
            </w:pPr>
          </w:p>
        </w:tc>
      </w:tr>
      <w:tr w:rsidR="002B758F" w14:paraId="13701EE0"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EDC" w14:textId="77777777" w:rsidR="00BD7D18" w:rsidRPr="0002287D" w:rsidRDefault="00BD7D18" w:rsidP="00BD7D18">
            <w:pPr>
              <w:jc w:val="left"/>
            </w:pPr>
            <w:r w:rsidRPr="0002287D">
              <w:t>Staffing Variances</w:t>
            </w: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EDD" w14:textId="77777777" w:rsidR="00BD7D18" w:rsidRPr="0002287D" w:rsidRDefault="00BD7D18" w:rsidP="00BD7D18">
            <w:pPr>
              <w:jc w:val="right"/>
              <w:rPr>
                <w:szCs w:val="22"/>
              </w:rPr>
            </w:pPr>
            <w:r w:rsidRPr="0002287D">
              <w:rPr>
                <w:szCs w:val="22"/>
              </w:rPr>
              <w:t>(110)</w:t>
            </w:r>
          </w:p>
        </w:tc>
        <w:tc>
          <w:tcPr>
            <w:tcW w:w="170" w:type="dxa"/>
            <w:tcBorders>
              <w:top w:val="nil"/>
              <w:left w:val="single" w:sz="4" w:space="0" w:color="BFBFBF" w:themeColor="background1" w:themeShade="BF"/>
              <w:bottom w:val="nil"/>
              <w:right w:val="single" w:sz="4" w:space="0" w:color="auto"/>
            </w:tcBorders>
            <w:tcMar>
              <w:left w:w="57" w:type="dxa"/>
              <w:right w:w="57" w:type="dxa"/>
            </w:tcMar>
          </w:tcPr>
          <w:p w14:paraId="13701EDE" w14:textId="77777777" w:rsidR="00BD7D18" w:rsidRDefault="00BD7D18" w:rsidP="00BD7D18">
            <w:pPr>
              <w:jc w:val="right"/>
            </w:pPr>
          </w:p>
        </w:tc>
        <w:tc>
          <w:tcPr>
            <w:tcW w:w="1247" w:type="dxa"/>
            <w:vMerge w:val="restart"/>
            <w:tcBorders>
              <w:top w:val="nil"/>
              <w:left w:val="single" w:sz="4" w:space="0" w:color="auto"/>
              <w:bottom w:val="nil"/>
            </w:tcBorders>
            <w:tcMar>
              <w:left w:w="57" w:type="dxa"/>
              <w:right w:w="284" w:type="dxa"/>
            </w:tcMar>
            <w:vAlign w:val="center"/>
          </w:tcPr>
          <w:p w14:paraId="13701EDF" w14:textId="77777777" w:rsidR="00BD7D18" w:rsidRDefault="00BD7D18" w:rsidP="0022379A">
            <w:pPr>
              <w:jc w:val="right"/>
            </w:pPr>
            <w:r>
              <w:t>(</w:t>
            </w:r>
            <w:r w:rsidR="0022379A">
              <w:t>15</w:t>
            </w:r>
            <w:r>
              <w:t>7)</w:t>
            </w:r>
          </w:p>
        </w:tc>
      </w:tr>
      <w:tr w:rsidR="002B758F" w14:paraId="13701EE5"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EE1" w14:textId="77777777" w:rsidR="00BD7D18" w:rsidRPr="0002287D" w:rsidRDefault="00BD7D18" w:rsidP="00BD7D18">
            <w:pPr>
              <w:jc w:val="left"/>
            </w:pPr>
            <w:r w:rsidRPr="0002287D">
              <w:t>Garden Waste income - exceeded budget</w:t>
            </w: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EE2" w14:textId="77777777" w:rsidR="00BD7D18" w:rsidRPr="0002287D" w:rsidRDefault="00BD7D18" w:rsidP="00BD7D18">
            <w:pPr>
              <w:jc w:val="right"/>
              <w:rPr>
                <w:szCs w:val="22"/>
              </w:rPr>
            </w:pPr>
            <w:r w:rsidRPr="0002287D">
              <w:rPr>
                <w:szCs w:val="22"/>
              </w:rPr>
              <w:t>(135)</w:t>
            </w:r>
          </w:p>
        </w:tc>
        <w:tc>
          <w:tcPr>
            <w:tcW w:w="170" w:type="dxa"/>
            <w:tcBorders>
              <w:top w:val="nil"/>
              <w:left w:val="single" w:sz="4" w:space="0" w:color="BFBFBF" w:themeColor="background1" w:themeShade="BF"/>
              <w:bottom w:val="nil"/>
              <w:right w:val="single" w:sz="4" w:space="0" w:color="auto"/>
            </w:tcBorders>
            <w:tcMar>
              <w:left w:w="57" w:type="dxa"/>
              <w:right w:w="57" w:type="dxa"/>
            </w:tcMar>
          </w:tcPr>
          <w:p w14:paraId="13701EE3" w14:textId="77777777" w:rsidR="00BD7D18" w:rsidRDefault="00BD7D18" w:rsidP="00BD7D18">
            <w:pPr>
              <w:jc w:val="right"/>
            </w:pPr>
          </w:p>
        </w:tc>
        <w:tc>
          <w:tcPr>
            <w:tcW w:w="1247" w:type="dxa"/>
            <w:vMerge/>
            <w:tcBorders>
              <w:top w:val="nil"/>
              <w:left w:val="single" w:sz="4" w:space="0" w:color="auto"/>
              <w:bottom w:val="nil"/>
            </w:tcBorders>
            <w:tcMar>
              <w:left w:w="57" w:type="dxa"/>
              <w:right w:w="284" w:type="dxa"/>
            </w:tcMar>
            <w:vAlign w:val="center"/>
          </w:tcPr>
          <w:p w14:paraId="13701EE4" w14:textId="77777777" w:rsidR="00BD7D18" w:rsidRDefault="00BD7D18" w:rsidP="00BD7D18">
            <w:pPr>
              <w:jc w:val="right"/>
            </w:pPr>
          </w:p>
        </w:tc>
      </w:tr>
      <w:tr w:rsidR="002B758F" w14:paraId="13701EEA"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EE6" w14:textId="77777777" w:rsidR="00BD7D18" w:rsidRPr="0002287D" w:rsidRDefault="00BD7D18" w:rsidP="00BD7D18">
            <w:pPr>
              <w:jc w:val="left"/>
            </w:pPr>
            <w:r w:rsidRPr="0002287D">
              <w:t>Trade Waste income  - reduction in take up on renewal</w:t>
            </w: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EE7" w14:textId="77777777" w:rsidR="00BD7D18" w:rsidRPr="0002287D" w:rsidRDefault="00BD7D18" w:rsidP="00BD7D18">
            <w:pPr>
              <w:jc w:val="right"/>
              <w:rPr>
                <w:szCs w:val="22"/>
              </w:rPr>
            </w:pPr>
            <w:r w:rsidRPr="0002287D">
              <w:rPr>
                <w:szCs w:val="22"/>
              </w:rPr>
              <w:t>20</w:t>
            </w:r>
          </w:p>
        </w:tc>
        <w:tc>
          <w:tcPr>
            <w:tcW w:w="170" w:type="dxa"/>
            <w:tcBorders>
              <w:top w:val="nil"/>
              <w:left w:val="single" w:sz="4" w:space="0" w:color="BFBFBF" w:themeColor="background1" w:themeShade="BF"/>
              <w:bottom w:val="nil"/>
              <w:right w:val="single" w:sz="4" w:space="0" w:color="auto"/>
            </w:tcBorders>
            <w:tcMar>
              <w:left w:w="57" w:type="dxa"/>
              <w:right w:w="57" w:type="dxa"/>
            </w:tcMar>
          </w:tcPr>
          <w:p w14:paraId="13701EE8" w14:textId="77777777" w:rsidR="00BD7D18" w:rsidRDefault="00BD7D18" w:rsidP="00BD7D18">
            <w:pPr>
              <w:jc w:val="right"/>
            </w:pPr>
          </w:p>
        </w:tc>
        <w:tc>
          <w:tcPr>
            <w:tcW w:w="1247" w:type="dxa"/>
            <w:vMerge/>
            <w:tcBorders>
              <w:top w:val="nil"/>
              <w:left w:val="single" w:sz="4" w:space="0" w:color="auto"/>
              <w:bottom w:val="nil"/>
            </w:tcBorders>
            <w:tcMar>
              <w:left w:w="57" w:type="dxa"/>
              <w:right w:w="284" w:type="dxa"/>
            </w:tcMar>
            <w:vAlign w:val="center"/>
          </w:tcPr>
          <w:p w14:paraId="13701EE9" w14:textId="77777777" w:rsidR="00BD7D18" w:rsidRDefault="00BD7D18" w:rsidP="00BD7D18">
            <w:pPr>
              <w:jc w:val="right"/>
            </w:pPr>
          </w:p>
        </w:tc>
      </w:tr>
      <w:tr w:rsidR="002B758F" w14:paraId="13701EEF"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EEB" w14:textId="77777777" w:rsidR="00BD7D18" w:rsidRPr="0002287D" w:rsidRDefault="00BD7D18" w:rsidP="00BD7D18">
            <w:pPr>
              <w:jc w:val="left"/>
            </w:pPr>
            <w:r w:rsidRPr="0002287D">
              <w:t xml:space="preserve">Waste Contract – inflation and cost recovery adjustments </w:t>
            </w: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EEC" w14:textId="77777777" w:rsidR="00BD7D18" w:rsidRPr="0002287D" w:rsidRDefault="00BD7D18" w:rsidP="00BD7D18">
            <w:pPr>
              <w:jc w:val="right"/>
              <w:rPr>
                <w:szCs w:val="22"/>
              </w:rPr>
            </w:pPr>
            <w:r w:rsidRPr="0002287D">
              <w:rPr>
                <w:szCs w:val="22"/>
              </w:rPr>
              <w:t>108</w:t>
            </w:r>
          </w:p>
        </w:tc>
        <w:tc>
          <w:tcPr>
            <w:tcW w:w="170" w:type="dxa"/>
            <w:tcBorders>
              <w:top w:val="nil"/>
              <w:left w:val="single" w:sz="4" w:space="0" w:color="BFBFBF" w:themeColor="background1" w:themeShade="BF"/>
              <w:bottom w:val="nil"/>
              <w:right w:val="single" w:sz="4" w:space="0" w:color="auto"/>
            </w:tcBorders>
            <w:tcMar>
              <w:left w:w="57" w:type="dxa"/>
              <w:right w:w="57" w:type="dxa"/>
            </w:tcMar>
          </w:tcPr>
          <w:p w14:paraId="13701EED" w14:textId="77777777" w:rsidR="00BD7D18" w:rsidRDefault="00BD7D18" w:rsidP="00BD7D18">
            <w:pPr>
              <w:jc w:val="right"/>
            </w:pPr>
          </w:p>
        </w:tc>
        <w:tc>
          <w:tcPr>
            <w:tcW w:w="1247" w:type="dxa"/>
            <w:vMerge/>
            <w:tcBorders>
              <w:top w:val="nil"/>
              <w:left w:val="single" w:sz="4" w:space="0" w:color="auto"/>
              <w:bottom w:val="nil"/>
            </w:tcBorders>
            <w:tcMar>
              <w:left w:w="57" w:type="dxa"/>
              <w:right w:w="284" w:type="dxa"/>
            </w:tcMar>
            <w:vAlign w:val="center"/>
          </w:tcPr>
          <w:p w14:paraId="13701EEE" w14:textId="77777777" w:rsidR="00BD7D18" w:rsidRDefault="00BD7D18" w:rsidP="00BD7D18">
            <w:pPr>
              <w:jc w:val="right"/>
            </w:pPr>
          </w:p>
        </w:tc>
      </w:tr>
      <w:tr w:rsidR="002B758F" w14:paraId="13701EF4"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EF0" w14:textId="77777777" w:rsidR="00BD7D18" w:rsidRPr="0002287D" w:rsidRDefault="00BD7D18" w:rsidP="00BD7D18">
            <w:pPr>
              <w:jc w:val="left"/>
            </w:pPr>
            <w:r w:rsidRPr="0002287D">
              <w:t>Waste – Special Collections charges</w:t>
            </w: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EF1" w14:textId="77777777" w:rsidR="00BD7D18" w:rsidRPr="0002287D" w:rsidRDefault="00BD7D18" w:rsidP="00BD7D18">
            <w:pPr>
              <w:jc w:val="right"/>
              <w:rPr>
                <w:szCs w:val="22"/>
              </w:rPr>
            </w:pPr>
            <w:r w:rsidRPr="0002287D">
              <w:rPr>
                <w:szCs w:val="22"/>
              </w:rPr>
              <w:t>13</w:t>
            </w:r>
          </w:p>
        </w:tc>
        <w:tc>
          <w:tcPr>
            <w:tcW w:w="170" w:type="dxa"/>
            <w:tcBorders>
              <w:top w:val="nil"/>
              <w:left w:val="single" w:sz="4" w:space="0" w:color="BFBFBF" w:themeColor="background1" w:themeShade="BF"/>
              <w:bottom w:val="nil"/>
              <w:right w:val="single" w:sz="4" w:space="0" w:color="auto"/>
            </w:tcBorders>
            <w:tcMar>
              <w:left w:w="57" w:type="dxa"/>
              <w:right w:w="57" w:type="dxa"/>
            </w:tcMar>
          </w:tcPr>
          <w:p w14:paraId="13701EF2" w14:textId="77777777" w:rsidR="00BD7D18" w:rsidRDefault="00BD7D18" w:rsidP="00BD7D18">
            <w:pPr>
              <w:jc w:val="right"/>
            </w:pPr>
          </w:p>
        </w:tc>
        <w:tc>
          <w:tcPr>
            <w:tcW w:w="1247" w:type="dxa"/>
            <w:vMerge/>
            <w:tcBorders>
              <w:top w:val="nil"/>
              <w:left w:val="single" w:sz="4" w:space="0" w:color="auto"/>
              <w:bottom w:val="nil"/>
            </w:tcBorders>
            <w:tcMar>
              <w:left w:w="57" w:type="dxa"/>
              <w:right w:w="284" w:type="dxa"/>
            </w:tcMar>
            <w:vAlign w:val="center"/>
          </w:tcPr>
          <w:p w14:paraId="13701EF3" w14:textId="77777777" w:rsidR="00BD7D18" w:rsidRDefault="00BD7D18" w:rsidP="00BD7D18">
            <w:pPr>
              <w:jc w:val="right"/>
            </w:pPr>
          </w:p>
        </w:tc>
      </w:tr>
      <w:tr w:rsidR="002B758F" w14:paraId="13701EF9"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EF5" w14:textId="77777777" w:rsidR="00BD7D18" w:rsidRPr="0002287D" w:rsidRDefault="00BD7D18" w:rsidP="00BD7D18">
            <w:pPr>
              <w:spacing w:line="240" w:lineRule="auto"/>
              <w:jc w:val="left"/>
              <w:rPr>
                <w:rFonts w:cs="Arial"/>
              </w:rPr>
            </w:pPr>
            <w:r w:rsidRPr="0002287D">
              <w:rPr>
                <w:rFonts w:cs="Arial"/>
                <w:color w:val="000000"/>
              </w:rPr>
              <w:t>Reduced income for permits at Worden Park due to repairs</w:t>
            </w: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EF6" w14:textId="77777777" w:rsidR="00BD7D18" w:rsidRPr="0002287D" w:rsidRDefault="00BD7D18" w:rsidP="00BD7D18">
            <w:pPr>
              <w:jc w:val="right"/>
              <w:rPr>
                <w:szCs w:val="22"/>
              </w:rPr>
            </w:pPr>
            <w:r w:rsidRPr="0002287D">
              <w:rPr>
                <w:szCs w:val="22"/>
              </w:rPr>
              <w:t xml:space="preserve">  6</w:t>
            </w:r>
          </w:p>
        </w:tc>
        <w:tc>
          <w:tcPr>
            <w:tcW w:w="170" w:type="dxa"/>
            <w:tcBorders>
              <w:top w:val="nil"/>
              <w:left w:val="single" w:sz="4" w:space="0" w:color="BFBFBF" w:themeColor="background1" w:themeShade="BF"/>
              <w:bottom w:val="nil"/>
              <w:right w:val="single" w:sz="4" w:space="0" w:color="auto"/>
            </w:tcBorders>
            <w:tcMar>
              <w:left w:w="57" w:type="dxa"/>
              <w:right w:w="57" w:type="dxa"/>
            </w:tcMar>
          </w:tcPr>
          <w:p w14:paraId="13701EF7" w14:textId="77777777" w:rsidR="00BD7D18" w:rsidRDefault="00BD7D18" w:rsidP="00BD7D18">
            <w:pPr>
              <w:jc w:val="right"/>
            </w:pPr>
          </w:p>
        </w:tc>
        <w:tc>
          <w:tcPr>
            <w:tcW w:w="1247" w:type="dxa"/>
            <w:vMerge/>
            <w:tcBorders>
              <w:top w:val="nil"/>
              <w:left w:val="single" w:sz="4" w:space="0" w:color="auto"/>
              <w:bottom w:val="nil"/>
            </w:tcBorders>
            <w:tcMar>
              <w:left w:w="57" w:type="dxa"/>
              <w:right w:w="284" w:type="dxa"/>
            </w:tcMar>
            <w:vAlign w:val="center"/>
          </w:tcPr>
          <w:p w14:paraId="13701EF8" w14:textId="77777777" w:rsidR="00BD7D18" w:rsidRDefault="00BD7D18" w:rsidP="00BD7D18">
            <w:pPr>
              <w:jc w:val="right"/>
            </w:pPr>
          </w:p>
        </w:tc>
      </w:tr>
      <w:tr w:rsidR="00CC50F4" w14:paraId="13701EFE"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EFA" w14:textId="77777777" w:rsidR="00CC50F4" w:rsidRPr="0002287D" w:rsidRDefault="00515BC4" w:rsidP="00BD7D18">
            <w:pPr>
              <w:jc w:val="left"/>
            </w:pPr>
            <w:r>
              <w:t xml:space="preserve">Moss Side depot </w:t>
            </w:r>
            <w:r w:rsidR="0022379A">
              <w:t>– Vehicle maintenance contract net additional income</w:t>
            </w: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EFB" w14:textId="77777777" w:rsidR="00CC50F4" w:rsidRPr="0002287D" w:rsidRDefault="0022379A" w:rsidP="00BD7D18">
            <w:pPr>
              <w:jc w:val="right"/>
              <w:rPr>
                <w:szCs w:val="22"/>
              </w:rPr>
            </w:pPr>
            <w:r>
              <w:rPr>
                <w:szCs w:val="22"/>
              </w:rPr>
              <w:t>(70)</w:t>
            </w:r>
          </w:p>
        </w:tc>
        <w:tc>
          <w:tcPr>
            <w:tcW w:w="170" w:type="dxa"/>
            <w:tcBorders>
              <w:top w:val="nil"/>
              <w:left w:val="single" w:sz="4" w:space="0" w:color="BFBFBF" w:themeColor="background1" w:themeShade="BF"/>
              <w:bottom w:val="nil"/>
              <w:right w:val="single" w:sz="4" w:space="0" w:color="auto"/>
            </w:tcBorders>
            <w:tcMar>
              <w:left w:w="57" w:type="dxa"/>
              <w:right w:w="57" w:type="dxa"/>
            </w:tcMar>
          </w:tcPr>
          <w:p w14:paraId="13701EFC" w14:textId="77777777" w:rsidR="00CC50F4" w:rsidRDefault="00CC50F4" w:rsidP="00BD7D18">
            <w:pPr>
              <w:jc w:val="right"/>
            </w:pPr>
          </w:p>
        </w:tc>
        <w:tc>
          <w:tcPr>
            <w:tcW w:w="1247" w:type="dxa"/>
            <w:vMerge/>
            <w:tcBorders>
              <w:top w:val="nil"/>
              <w:left w:val="single" w:sz="4" w:space="0" w:color="auto"/>
              <w:bottom w:val="nil"/>
            </w:tcBorders>
            <w:tcMar>
              <w:left w:w="57" w:type="dxa"/>
              <w:right w:w="284" w:type="dxa"/>
            </w:tcMar>
            <w:vAlign w:val="center"/>
          </w:tcPr>
          <w:p w14:paraId="13701EFD" w14:textId="77777777" w:rsidR="00CC50F4" w:rsidRDefault="00CC50F4" w:rsidP="00BD7D18">
            <w:pPr>
              <w:jc w:val="right"/>
            </w:pPr>
          </w:p>
        </w:tc>
      </w:tr>
      <w:tr w:rsidR="002B758F" w14:paraId="13701F03"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EFF" w14:textId="77777777" w:rsidR="00BD7D18" w:rsidRPr="0002287D" w:rsidRDefault="00BD7D18" w:rsidP="00BD7D18">
            <w:pPr>
              <w:jc w:val="left"/>
            </w:pPr>
            <w:r w:rsidRPr="0002287D">
              <w:t>Moss Side depot – metered water</w:t>
            </w: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F00" w14:textId="77777777" w:rsidR="00BD7D18" w:rsidRPr="0002287D" w:rsidRDefault="00BD7D18" w:rsidP="00BD7D18">
            <w:pPr>
              <w:jc w:val="right"/>
              <w:rPr>
                <w:szCs w:val="22"/>
              </w:rPr>
            </w:pPr>
            <w:r w:rsidRPr="0002287D">
              <w:rPr>
                <w:szCs w:val="22"/>
              </w:rPr>
              <w:t>11</w:t>
            </w:r>
          </w:p>
        </w:tc>
        <w:tc>
          <w:tcPr>
            <w:tcW w:w="170" w:type="dxa"/>
            <w:tcBorders>
              <w:top w:val="nil"/>
              <w:left w:val="single" w:sz="4" w:space="0" w:color="BFBFBF" w:themeColor="background1" w:themeShade="BF"/>
              <w:bottom w:val="nil"/>
              <w:right w:val="single" w:sz="4" w:space="0" w:color="auto"/>
            </w:tcBorders>
            <w:tcMar>
              <w:left w:w="57" w:type="dxa"/>
              <w:right w:w="57" w:type="dxa"/>
            </w:tcMar>
          </w:tcPr>
          <w:p w14:paraId="13701F01" w14:textId="77777777" w:rsidR="00BD7D18" w:rsidRDefault="00BD7D18" w:rsidP="00BD7D18">
            <w:pPr>
              <w:jc w:val="right"/>
            </w:pPr>
          </w:p>
        </w:tc>
        <w:tc>
          <w:tcPr>
            <w:tcW w:w="1247" w:type="dxa"/>
            <w:vMerge/>
            <w:tcBorders>
              <w:top w:val="nil"/>
              <w:left w:val="single" w:sz="4" w:space="0" w:color="auto"/>
              <w:bottom w:val="nil"/>
            </w:tcBorders>
            <w:tcMar>
              <w:left w:w="57" w:type="dxa"/>
              <w:right w:w="284" w:type="dxa"/>
            </w:tcMar>
            <w:vAlign w:val="center"/>
          </w:tcPr>
          <w:p w14:paraId="13701F02" w14:textId="77777777" w:rsidR="00BD7D18" w:rsidRDefault="00BD7D18" w:rsidP="00BD7D18">
            <w:pPr>
              <w:jc w:val="right"/>
            </w:pPr>
          </w:p>
        </w:tc>
      </w:tr>
      <w:tr w:rsidR="002B758F" w14:paraId="13701F08"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F04" w14:textId="77777777" w:rsidR="00BD7D18" w:rsidRPr="0002287D" w:rsidRDefault="00BD7D18" w:rsidP="00BD7D18">
            <w:pPr>
              <w:jc w:val="left"/>
            </w:pP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F05" w14:textId="77777777" w:rsidR="00BD7D18" w:rsidRPr="0002287D" w:rsidRDefault="00BD7D18" w:rsidP="00BD7D18">
            <w:pPr>
              <w:jc w:val="right"/>
              <w:rPr>
                <w:szCs w:val="22"/>
              </w:rPr>
            </w:pPr>
          </w:p>
        </w:tc>
        <w:tc>
          <w:tcPr>
            <w:tcW w:w="170" w:type="dxa"/>
            <w:tcBorders>
              <w:top w:val="nil"/>
              <w:left w:val="single" w:sz="4" w:space="0" w:color="BFBFBF" w:themeColor="background1" w:themeShade="BF"/>
              <w:bottom w:val="nil"/>
              <w:right w:val="nil"/>
            </w:tcBorders>
            <w:tcMar>
              <w:left w:w="57" w:type="dxa"/>
              <w:right w:w="57" w:type="dxa"/>
            </w:tcMar>
          </w:tcPr>
          <w:p w14:paraId="13701F06" w14:textId="77777777" w:rsidR="00BD7D18" w:rsidRDefault="00BD7D18" w:rsidP="00BD7D18">
            <w:pPr>
              <w:jc w:val="right"/>
            </w:pPr>
          </w:p>
        </w:tc>
        <w:tc>
          <w:tcPr>
            <w:tcW w:w="1247" w:type="dxa"/>
            <w:tcBorders>
              <w:top w:val="nil"/>
              <w:left w:val="nil"/>
              <w:bottom w:val="nil"/>
            </w:tcBorders>
            <w:tcMar>
              <w:left w:w="57" w:type="dxa"/>
              <w:right w:w="284" w:type="dxa"/>
            </w:tcMar>
            <w:vAlign w:val="center"/>
          </w:tcPr>
          <w:p w14:paraId="13701F07" w14:textId="77777777" w:rsidR="00BD7D18" w:rsidRDefault="00BD7D18" w:rsidP="00BD7D18">
            <w:pPr>
              <w:jc w:val="right"/>
            </w:pPr>
          </w:p>
        </w:tc>
      </w:tr>
      <w:tr w:rsidR="002B758F" w:rsidRPr="00017022" w14:paraId="13701F0D"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F09" w14:textId="77777777" w:rsidR="00BD7D18" w:rsidRPr="00017022" w:rsidRDefault="00BD7D18" w:rsidP="00BD7D18">
            <w:pPr>
              <w:rPr>
                <w:b/>
              </w:rPr>
            </w:pPr>
            <w:r w:rsidRPr="00017022">
              <w:rPr>
                <w:b/>
              </w:rPr>
              <w:t>Planning and Property</w:t>
            </w: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F0A" w14:textId="77777777" w:rsidR="00BD7D18" w:rsidRPr="0002287D" w:rsidRDefault="00BD7D18" w:rsidP="00BD7D18">
            <w:pPr>
              <w:jc w:val="right"/>
              <w:rPr>
                <w:szCs w:val="22"/>
              </w:rPr>
            </w:pPr>
          </w:p>
        </w:tc>
        <w:tc>
          <w:tcPr>
            <w:tcW w:w="170" w:type="dxa"/>
            <w:tcBorders>
              <w:top w:val="nil"/>
              <w:left w:val="single" w:sz="4" w:space="0" w:color="BFBFBF" w:themeColor="background1" w:themeShade="BF"/>
              <w:bottom w:val="nil"/>
              <w:right w:val="nil"/>
            </w:tcBorders>
            <w:tcMar>
              <w:left w:w="57" w:type="dxa"/>
              <w:right w:w="57" w:type="dxa"/>
            </w:tcMar>
          </w:tcPr>
          <w:p w14:paraId="13701F0B" w14:textId="77777777" w:rsidR="00BD7D18" w:rsidRDefault="00BD7D18" w:rsidP="00BD7D18">
            <w:pPr>
              <w:jc w:val="right"/>
            </w:pPr>
          </w:p>
        </w:tc>
        <w:tc>
          <w:tcPr>
            <w:tcW w:w="1247" w:type="dxa"/>
            <w:tcBorders>
              <w:top w:val="nil"/>
              <w:left w:val="nil"/>
              <w:bottom w:val="nil"/>
            </w:tcBorders>
            <w:tcMar>
              <w:left w:w="57" w:type="dxa"/>
              <w:right w:w="284" w:type="dxa"/>
            </w:tcMar>
            <w:vAlign w:val="center"/>
          </w:tcPr>
          <w:p w14:paraId="13701F0C" w14:textId="77777777" w:rsidR="00BD7D18" w:rsidRDefault="00BD7D18" w:rsidP="00BD7D18">
            <w:pPr>
              <w:jc w:val="right"/>
            </w:pPr>
          </w:p>
        </w:tc>
      </w:tr>
      <w:tr w:rsidR="002B758F" w14:paraId="13701F12"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F0E" w14:textId="77777777" w:rsidR="00BD7D18" w:rsidRPr="0002287D" w:rsidRDefault="00BD7D18" w:rsidP="00BD7D18">
            <w:r w:rsidRPr="0002287D">
              <w:t>Staffing Variances</w:t>
            </w: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F0F" w14:textId="77777777" w:rsidR="00BD7D18" w:rsidRPr="0002287D" w:rsidRDefault="00BD7D18" w:rsidP="00BD7D18">
            <w:pPr>
              <w:jc w:val="right"/>
              <w:rPr>
                <w:szCs w:val="22"/>
              </w:rPr>
            </w:pPr>
            <w:r w:rsidRPr="0002287D">
              <w:rPr>
                <w:szCs w:val="22"/>
              </w:rPr>
              <w:t>(145)</w:t>
            </w:r>
          </w:p>
        </w:tc>
        <w:tc>
          <w:tcPr>
            <w:tcW w:w="170" w:type="dxa"/>
            <w:tcBorders>
              <w:top w:val="nil"/>
              <w:left w:val="single" w:sz="4" w:space="0" w:color="BFBFBF" w:themeColor="background1" w:themeShade="BF"/>
              <w:bottom w:val="nil"/>
              <w:right w:val="single" w:sz="4" w:space="0" w:color="auto"/>
            </w:tcBorders>
            <w:tcMar>
              <w:left w:w="57" w:type="dxa"/>
              <w:right w:w="57" w:type="dxa"/>
            </w:tcMar>
          </w:tcPr>
          <w:p w14:paraId="13701F10" w14:textId="77777777" w:rsidR="00BD7D18" w:rsidRDefault="00BD7D18" w:rsidP="00BD7D18">
            <w:pPr>
              <w:jc w:val="right"/>
            </w:pPr>
          </w:p>
        </w:tc>
        <w:tc>
          <w:tcPr>
            <w:tcW w:w="1247" w:type="dxa"/>
            <w:vMerge w:val="restart"/>
            <w:tcBorders>
              <w:top w:val="nil"/>
              <w:left w:val="single" w:sz="4" w:space="0" w:color="auto"/>
              <w:bottom w:val="nil"/>
            </w:tcBorders>
            <w:tcMar>
              <w:left w:w="57" w:type="dxa"/>
              <w:right w:w="284" w:type="dxa"/>
            </w:tcMar>
            <w:vAlign w:val="center"/>
          </w:tcPr>
          <w:p w14:paraId="13701F11" w14:textId="77777777" w:rsidR="00BD7D18" w:rsidRDefault="00BD7D18" w:rsidP="00BD7D18">
            <w:pPr>
              <w:jc w:val="right"/>
            </w:pPr>
            <w:r>
              <w:t>(128)</w:t>
            </w:r>
          </w:p>
        </w:tc>
      </w:tr>
      <w:tr w:rsidR="002B758F" w14:paraId="13701F17"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F13" w14:textId="77777777" w:rsidR="00BD7D18" w:rsidRPr="0002287D" w:rsidRDefault="00BD7D18" w:rsidP="00BD7D18">
            <w:r w:rsidRPr="0002287D">
              <w:t>Civic Centre rental/room hire income</w:t>
            </w: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F14" w14:textId="77777777" w:rsidR="00BD7D18" w:rsidRPr="0002287D" w:rsidRDefault="00BD7D18" w:rsidP="00BD7D18">
            <w:pPr>
              <w:jc w:val="right"/>
              <w:rPr>
                <w:szCs w:val="22"/>
              </w:rPr>
            </w:pPr>
            <w:r w:rsidRPr="0002287D">
              <w:rPr>
                <w:szCs w:val="22"/>
              </w:rPr>
              <w:t>(15)</w:t>
            </w:r>
          </w:p>
        </w:tc>
        <w:tc>
          <w:tcPr>
            <w:tcW w:w="170" w:type="dxa"/>
            <w:tcBorders>
              <w:top w:val="nil"/>
              <w:left w:val="single" w:sz="4" w:space="0" w:color="BFBFBF" w:themeColor="background1" w:themeShade="BF"/>
              <w:bottom w:val="nil"/>
              <w:right w:val="single" w:sz="4" w:space="0" w:color="auto"/>
            </w:tcBorders>
            <w:tcMar>
              <w:left w:w="57" w:type="dxa"/>
              <w:right w:w="57" w:type="dxa"/>
            </w:tcMar>
          </w:tcPr>
          <w:p w14:paraId="13701F15" w14:textId="77777777" w:rsidR="00BD7D18" w:rsidRDefault="00BD7D18" w:rsidP="00BD7D18">
            <w:pPr>
              <w:jc w:val="right"/>
            </w:pPr>
          </w:p>
        </w:tc>
        <w:tc>
          <w:tcPr>
            <w:tcW w:w="1247" w:type="dxa"/>
            <w:vMerge/>
            <w:tcBorders>
              <w:top w:val="nil"/>
              <w:left w:val="single" w:sz="4" w:space="0" w:color="auto"/>
              <w:bottom w:val="nil"/>
            </w:tcBorders>
            <w:tcMar>
              <w:left w:w="57" w:type="dxa"/>
              <w:right w:w="284" w:type="dxa"/>
            </w:tcMar>
            <w:vAlign w:val="center"/>
          </w:tcPr>
          <w:p w14:paraId="13701F16" w14:textId="77777777" w:rsidR="00BD7D18" w:rsidRDefault="00BD7D18" w:rsidP="00BD7D18">
            <w:pPr>
              <w:jc w:val="right"/>
            </w:pPr>
          </w:p>
        </w:tc>
      </w:tr>
      <w:tr w:rsidR="002B758F" w14:paraId="13701F1C"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F18" w14:textId="77777777" w:rsidR="00BD7D18" w:rsidRPr="0002287D" w:rsidRDefault="00BD7D18" w:rsidP="00BD7D18">
            <w:r>
              <w:t>Planning Pre-application fees reduction</w:t>
            </w: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F19" w14:textId="77777777" w:rsidR="00BD7D18" w:rsidRPr="0002287D" w:rsidRDefault="00BD7D18" w:rsidP="00BD7D18">
            <w:pPr>
              <w:jc w:val="right"/>
              <w:rPr>
                <w:szCs w:val="22"/>
              </w:rPr>
            </w:pPr>
            <w:r>
              <w:rPr>
                <w:szCs w:val="22"/>
              </w:rPr>
              <w:t>32</w:t>
            </w:r>
          </w:p>
        </w:tc>
        <w:tc>
          <w:tcPr>
            <w:tcW w:w="170" w:type="dxa"/>
            <w:tcBorders>
              <w:top w:val="nil"/>
              <w:left w:val="single" w:sz="4" w:space="0" w:color="BFBFBF" w:themeColor="background1" w:themeShade="BF"/>
              <w:bottom w:val="nil"/>
              <w:right w:val="single" w:sz="4" w:space="0" w:color="auto"/>
            </w:tcBorders>
            <w:tcMar>
              <w:left w:w="57" w:type="dxa"/>
              <w:right w:w="57" w:type="dxa"/>
            </w:tcMar>
          </w:tcPr>
          <w:p w14:paraId="13701F1A" w14:textId="77777777" w:rsidR="00BD7D18" w:rsidRDefault="00BD7D18" w:rsidP="00BD7D18">
            <w:pPr>
              <w:jc w:val="right"/>
            </w:pPr>
          </w:p>
        </w:tc>
        <w:tc>
          <w:tcPr>
            <w:tcW w:w="1247" w:type="dxa"/>
            <w:vMerge/>
            <w:tcBorders>
              <w:top w:val="nil"/>
              <w:left w:val="single" w:sz="4" w:space="0" w:color="auto"/>
              <w:bottom w:val="nil"/>
            </w:tcBorders>
            <w:tcMar>
              <w:left w:w="57" w:type="dxa"/>
              <w:right w:w="284" w:type="dxa"/>
            </w:tcMar>
            <w:vAlign w:val="center"/>
          </w:tcPr>
          <w:p w14:paraId="13701F1B" w14:textId="77777777" w:rsidR="00BD7D18" w:rsidRDefault="00BD7D18" w:rsidP="00BD7D18">
            <w:pPr>
              <w:jc w:val="right"/>
            </w:pPr>
          </w:p>
        </w:tc>
      </w:tr>
      <w:tr w:rsidR="002B758F" w14:paraId="13701F21"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F1D" w14:textId="77777777" w:rsidR="00BD7D18" w:rsidRPr="0002287D" w:rsidRDefault="00BD7D18" w:rsidP="00BD7D18"/>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F1E" w14:textId="77777777" w:rsidR="00BD7D18" w:rsidRPr="0002287D" w:rsidRDefault="00BD7D18" w:rsidP="00BD7D18">
            <w:pPr>
              <w:jc w:val="right"/>
              <w:rPr>
                <w:szCs w:val="22"/>
              </w:rPr>
            </w:pPr>
          </w:p>
        </w:tc>
        <w:tc>
          <w:tcPr>
            <w:tcW w:w="170" w:type="dxa"/>
            <w:tcBorders>
              <w:top w:val="nil"/>
              <w:left w:val="single" w:sz="4" w:space="0" w:color="BFBFBF" w:themeColor="background1" w:themeShade="BF"/>
              <w:bottom w:val="nil"/>
              <w:right w:val="nil"/>
            </w:tcBorders>
            <w:tcMar>
              <w:left w:w="57" w:type="dxa"/>
              <w:right w:w="57" w:type="dxa"/>
            </w:tcMar>
          </w:tcPr>
          <w:p w14:paraId="13701F1F" w14:textId="77777777" w:rsidR="00BD7D18" w:rsidRDefault="00BD7D18" w:rsidP="00BD7D18">
            <w:pPr>
              <w:jc w:val="right"/>
            </w:pPr>
          </w:p>
        </w:tc>
        <w:tc>
          <w:tcPr>
            <w:tcW w:w="1247" w:type="dxa"/>
            <w:tcBorders>
              <w:top w:val="nil"/>
              <w:left w:val="nil"/>
              <w:bottom w:val="nil"/>
            </w:tcBorders>
            <w:tcMar>
              <w:left w:w="57" w:type="dxa"/>
              <w:right w:w="284" w:type="dxa"/>
            </w:tcMar>
            <w:vAlign w:val="center"/>
          </w:tcPr>
          <w:p w14:paraId="13701F20" w14:textId="77777777" w:rsidR="00BD7D18" w:rsidRDefault="00BD7D18" w:rsidP="00BD7D18">
            <w:pPr>
              <w:jc w:val="right"/>
            </w:pPr>
          </w:p>
        </w:tc>
      </w:tr>
      <w:tr w:rsidR="002B758F" w:rsidRPr="00017022" w14:paraId="13701F26"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F22" w14:textId="77777777" w:rsidR="00BD7D18" w:rsidRPr="00017022" w:rsidRDefault="00BD7D18" w:rsidP="00BD7D18">
            <w:pPr>
              <w:rPr>
                <w:b/>
              </w:rPr>
            </w:pPr>
            <w:r w:rsidRPr="00017022">
              <w:rPr>
                <w:b/>
              </w:rPr>
              <w:t>Finance and Assurance</w:t>
            </w: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F23" w14:textId="77777777" w:rsidR="00BD7D18" w:rsidRPr="0002287D" w:rsidRDefault="00BD7D18" w:rsidP="00BD7D18">
            <w:pPr>
              <w:jc w:val="right"/>
              <w:rPr>
                <w:szCs w:val="22"/>
              </w:rPr>
            </w:pPr>
          </w:p>
        </w:tc>
        <w:tc>
          <w:tcPr>
            <w:tcW w:w="170" w:type="dxa"/>
            <w:tcBorders>
              <w:top w:val="nil"/>
              <w:left w:val="single" w:sz="4" w:space="0" w:color="BFBFBF" w:themeColor="background1" w:themeShade="BF"/>
              <w:bottom w:val="nil"/>
              <w:right w:val="nil"/>
            </w:tcBorders>
            <w:tcMar>
              <w:left w:w="57" w:type="dxa"/>
              <w:right w:w="57" w:type="dxa"/>
            </w:tcMar>
          </w:tcPr>
          <w:p w14:paraId="13701F24" w14:textId="77777777" w:rsidR="00BD7D18" w:rsidRDefault="00BD7D18" w:rsidP="00BD7D18">
            <w:pPr>
              <w:jc w:val="right"/>
            </w:pPr>
          </w:p>
        </w:tc>
        <w:tc>
          <w:tcPr>
            <w:tcW w:w="1247" w:type="dxa"/>
            <w:tcBorders>
              <w:top w:val="nil"/>
              <w:left w:val="nil"/>
              <w:bottom w:val="nil"/>
            </w:tcBorders>
            <w:tcMar>
              <w:left w:w="57" w:type="dxa"/>
              <w:right w:w="284" w:type="dxa"/>
            </w:tcMar>
            <w:vAlign w:val="center"/>
          </w:tcPr>
          <w:p w14:paraId="13701F25" w14:textId="77777777" w:rsidR="00BD7D18" w:rsidRDefault="00BD7D18" w:rsidP="00BD7D18">
            <w:pPr>
              <w:jc w:val="right"/>
            </w:pPr>
          </w:p>
        </w:tc>
      </w:tr>
      <w:tr w:rsidR="002B758F" w14:paraId="13701F2B"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F27" w14:textId="77777777" w:rsidR="00BD7D18" w:rsidRPr="0002287D" w:rsidRDefault="00BD7D18" w:rsidP="00BD7D18">
            <w:r w:rsidRPr="0002287D">
              <w:t>Staffing Variances</w:t>
            </w: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F28" w14:textId="77777777" w:rsidR="00BD7D18" w:rsidRPr="0002287D" w:rsidRDefault="00BD7D18" w:rsidP="00BD7D18">
            <w:pPr>
              <w:jc w:val="right"/>
              <w:rPr>
                <w:szCs w:val="22"/>
              </w:rPr>
            </w:pPr>
            <w:r>
              <w:rPr>
                <w:szCs w:val="22"/>
              </w:rPr>
              <w:t>(29)</w:t>
            </w:r>
          </w:p>
        </w:tc>
        <w:tc>
          <w:tcPr>
            <w:tcW w:w="170" w:type="dxa"/>
            <w:tcBorders>
              <w:top w:val="nil"/>
              <w:left w:val="single" w:sz="4" w:space="0" w:color="BFBFBF" w:themeColor="background1" w:themeShade="BF"/>
              <w:bottom w:val="nil"/>
              <w:right w:val="nil"/>
            </w:tcBorders>
            <w:tcMar>
              <w:left w:w="57" w:type="dxa"/>
              <w:right w:w="57" w:type="dxa"/>
            </w:tcMar>
          </w:tcPr>
          <w:p w14:paraId="13701F29" w14:textId="77777777" w:rsidR="00BD7D18" w:rsidRDefault="00BD7D18" w:rsidP="00BD7D18">
            <w:pPr>
              <w:jc w:val="right"/>
            </w:pPr>
          </w:p>
        </w:tc>
        <w:tc>
          <w:tcPr>
            <w:tcW w:w="1247" w:type="dxa"/>
            <w:tcBorders>
              <w:top w:val="nil"/>
              <w:left w:val="nil"/>
              <w:bottom w:val="nil"/>
            </w:tcBorders>
            <w:tcMar>
              <w:left w:w="57" w:type="dxa"/>
              <w:right w:w="284" w:type="dxa"/>
            </w:tcMar>
            <w:vAlign w:val="center"/>
          </w:tcPr>
          <w:p w14:paraId="13701F2A" w14:textId="77777777" w:rsidR="00BD7D18" w:rsidRDefault="00BD7D18" w:rsidP="00BD7D18">
            <w:pPr>
              <w:jc w:val="right"/>
            </w:pPr>
            <w:r>
              <w:t>(29)</w:t>
            </w:r>
          </w:p>
        </w:tc>
      </w:tr>
      <w:tr w:rsidR="002B758F" w14:paraId="13701F30"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F2C" w14:textId="77777777" w:rsidR="00BD7D18" w:rsidRPr="0002287D" w:rsidRDefault="00BD7D18" w:rsidP="00BD7D18"/>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F2D" w14:textId="77777777" w:rsidR="00BD7D18" w:rsidRPr="0002287D" w:rsidRDefault="00BD7D18" w:rsidP="00BD7D18">
            <w:pPr>
              <w:jc w:val="right"/>
              <w:rPr>
                <w:szCs w:val="22"/>
              </w:rPr>
            </w:pPr>
          </w:p>
        </w:tc>
        <w:tc>
          <w:tcPr>
            <w:tcW w:w="170" w:type="dxa"/>
            <w:tcBorders>
              <w:top w:val="nil"/>
              <w:left w:val="single" w:sz="4" w:space="0" w:color="BFBFBF" w:themeColor="background1" w:themeShade="BF"/>
              <w:bottom w:val="nil"/>
              <w:right w:val="nil"/>
            </w:tcBorders>
            <w:tcMar>
              <w:left w:w="57" w:type="dxa"/>
              <w:right w:w="57" w:type="dxa"/>
            </w:tcMar>
          </w:tcPr>
          <w:p w14:paraId="13701F2E" w14:textId="77777777" w:rsidR="00BD7D18" w:rsidRDefault="00BD7D18" w:rsidP="00BD7D18">
            <w:pPr>
              <w:jc w:val="right"/>
            </w:pPr>
          </w:p>
        </w:tc>
        <w:tc>
          <w:tcPr>
            <w:tcW w:w="1247" w:type="dxa"/>
            <w:tcBorders>
              <w:top w:val="nil"/>
              <w:left w:val="nil"/>
              <w:bottom w:val="nil"/>
            </w:tcBorders>
            <w:tcMar>
              <w:left w:w="57" w:type="dxa"/>
              <w:right w:w="284" w:type="dxa"/>
            </w:tcMar>
            <w:vAlign w:val="center"/>
          </w:tcPr>
          <w:p w14:paraId="13701F2F" w14:textId="77777777" w:rsidR="00BD7D18" w:rsidRDefault="00BD7D18" w:rsidP="00BD7D18">
            <w:pPr>
              <w:jc w:val="right"/>
            </w:pPr>
          </w:p>
        </w:tc>
      </w:tr>
      <w:tr w:rsidR="002B758F" w:rsidRPr="00017022" w14:paraId="13701F35"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F31" w14:textId="77777777" w:rsidR="00BD7D18" w:rsidRPr="00017022" w:rsidRDefault="00BD7D18" w:rsidP="00BD7D18">
            <w:pPr>
              <w:rPr>
                <w:b/>
              </w:rPr>
            </w:pPr>
            <w:r w:rsidRPr="00017022">
              <w:rPr>
                <w:b/>
              </w:rPr>
              <w:t>Legal, HR &amp; Democratic Services</w:t>
            </w: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F32" w14:textId="77777777" w:rsidR="00BD7D18" w:rsidRPr="0002287D" w:rsidRDefault="00BD7D18" w:rsidP="00BD7D18">
            <w:pPr>
              <w:jc w:val="right"/>
              <w:rPr>
                <w:szCs w:val="22"/>
              </w:rPr>
            </w:pPr>
          </w:p>
        </w:tc>
        <w:tc>
          <w:tcPr>
            <w:tcW w:w="170" w:type="dxa"/>
            <w:tcBorders>
              <w:top w:val="nil"/>
              <w:left w:val="single" w:sz="4" w:space="0" w:color="BFBFBF" w:themeColor="background1" w:themeShade="BF"/>
              <w:bottom w:val="nil"/>
              <w:right w:val="nil"/>
            </w:tcBorders>
            <w:tcMar>
              <w:left w:w="57" w:type="dxa"/>
              <w:right w:w="57" w:type="dxa"/>
            </w:tcMar>
          </w:tcPr>
          <w:p w14:paraId="13701F33" w14:textId="77777777" w:rsidR="00BD7D18" w:rsidRDefault="00BD7D18" w:rsidP="00BD7D18">
            <w:pPr>
              <w:jc w:val="right"/>
            </w:pPr>
          </w:p>
        </w:tc>
        <w:tc>
          <w:tcPr>
            <w:tcW w:w="1247" w:type="dxa"/>
            <w:tcBorders>
              <w:top w:val="nil"/>
              <w:left w:val="nil"/>
              <w:bottom w:val="nil"/>
            </w:tcBorders>
            <w:tcMar>
              <w:left w:w="57" w:type="dxa"/>
              <w:right w:w="284" w:type="dxa"/>
            </w:tcMar>
            <w:vAlign w:val="center"/>
          </w:tcPr>
          <w:p w14:paraId="13701F34" w14:textId="77777777" w:rsidR="00BD7D18" w:rsidRDefault="00BD7D18" w:rsidP="00BD7D18">
            <w:pPr>
              <w:jc w:val="right"/>
            </w:pPr>
          </w:p>
        </w:tc>
      </w:tr>
      <w:tr w:rsidR="002B758F" w14:paraId="13701F3A"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F36" w14:textId="77777777" w:rsidR="00BD7D18" w:rsidRPr="0002287D" w:rsidRDefault="00BD7D18" w:rsidP="00BD7D18">
            <w:pPr>
              <w:jc w:val="left"/>
            </w:pPr>
            <w:r w:rsidRPr="0002287D">
              <w:t>Staffing Variances</w:t>
            </w: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F37" w14:textId="77777777" w:rsidR="00BD7D18" w:rsidRPr="0002287D" w:rsidRDefault="00BD7D18" w:rsidP="00BD7D18">
            <w:pPr>
              <w:jc w:val="right"/>
              <w:rPr>
                <w:szCs w:val="22"/>
              </w:rPr>
            </w:pPr>
            <w:r w:rsidRPr="0002287D">
              <w:rPr>
                <w:szCs w:val="22"/>
              </w:rPr>
              <w:t>(110)</w:t>
            </w:r>
          </w:p>
        </w:tc>
        <w:tc>
          <w:tcPr>
            <w:tcW w:w="170" w:type="dxa"/>
            <w:tcBorders>
              <w:top w:val="nil"/>
              <w:left w:val="single" w:sz="4" w:space="0" w:color="BFBFBF" w:themeColor="background1" w:themeShade="BF"/>
              <w:bottom w:val="nil"/>
              <w:right w:val="single" w:sz="4" w:space="0" w:color="auto"/>
            </w:tcBorders>
            <w:tcMar>
              <w:left w:w="57" w:type="dxa"/>
              <w:right w:w="57" w:type="dxa"/>
            </w:tcMar>
          </w:tcPr>
          <w:p w14:paraId="13701F38" w14:textId="77777777" w:rsidR="00BD7D18" w:rsidRDefault="00BD7D18" w:rsidP="00BD7D18">
            <w:pPr>
              <w:jc w:val="right"/>
            </w:pPr>
          </w:p>
        </w:tc>
        <w:tc>
          <w:tcPr>
            <w:tcW w:w="1247" w:type="dxa"/>
            <w:vMerge w:val="restart"/>
            <w:tcBorders>
              <w:top w:val="nil"/>
              <w:left w:val="single" w:sz="4" w:space="0" w:color="auto"/>
              <w:bottom w:val="nil"/>
            </w:tcBorders>
            <w:tcMar>
              <w:left w:w="57" w:type="dxa"/>
              <w:right w:w="284" w:type="dxa"/>
            </w:tcMar>
            <w:vAlign w:val="center"/>
          </w:tcPr>
          <w:p w14:paraId="13701F39" w14:textId="77777777" w:rsidR="00BD7D18" w:rsidRDefault="00BD7D18" w:rsidP="00BD7D18">
            <w:pPr>
              <w:jc w:val="right"/>
            </w:pPr>
            <w:r>
              <w:t>(75)</w:t>
            </w:r>
          </w:p>
        </w:tc>
      </w:tr>
      <w:tr w:rsidR="002B758F" w14:paraId="13701F3F"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F3B" w14:textId="77777777" w:rsidR="00BD7D18" w:rsidRPr="0002287D" w:rsidRDefault="00BD7D18" w:rsidP="00BD7D18">
            <w:pPr>
              <w:jc w:val="left"/>
            </w:pPr>
            <w:r w:rsidRPr="0002287D">
              <w:t xml:space="preserve">Forecast reduction in Land Charges income  </w:t>
            </w: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F3C" w14:textId="77777777" w:rsidR="00BD7D18" w:rsidRPr="0002287D" w:rsidRDefault="00BD7D18" w:rsidP="00BD7D18">
            <w:pPr>
              <w:jc w:val="right"/>
              <w:rPr>
                <w:szCs w:val="22"/>
              </w:rPr>
            </w:pPr>
            <w:r w:rsidRPr="0002287D">
              <w:rPr>
                <w:szCs w:val="22"/>
              </w:rPr>
              <w:t>10</w:t>
            </w:r>
          </w:p>
        </w:tc>
        <w:tc>
          <w:tcPr>
            <w:tcW w:w="170" w:type="dxa"/>
            <w:tcBorders>
              <w:top w:val="nil"/>
              <w:left w:val="single" w:sz="4" w:space="0" w:color="BFBFBF" w:themeColor="background1" w:themeShade="BF"/>
              <w:bottom w:val="nil"/>
              <w:right w:val="single" w:sz="4" w:space="0" w:color="auto"/>
            </w:tcBorders>
            <w:tcMar>
              <w:left w:w="57" w:type="dxa"/>
              <w:right w:w="57" w:type="dxa"/>
            </w:tcMar>
          </w:tcPr>
          <w:p w14:paraId="13701F3D" w14:textId="77777777" w:rsidR="00BD7D18" w:rsidRDefault="00BD7D18" w:rsidP="00BD7D18">
            <w:pPr>
              <w:jc w:val="right"/>
            </w:pPr>
          </w:p>
        </w:tc>
        <w:tc>
          <w:tcPr>
            <w:tcW w:w="1247" w:type="dxa"/>
            <w:vMerge/>
            <w:tcBorders>
              <w:top w:val="nil"/>
              <w:left w:val="single" w:sz="4" w:space="0" w:color="auto"/>
              <w:bottom w:val="nil"/>
            </w:tcBorders>
            <w:tcMar>
              <w:left w:w="57" w:type="dxa"/>
              <w:right w:w="284" w:type="dxa"/>
            </w:tcMar>
            <w:vAlign w:val="center"/>
          </w:tcPr>
          <w:p w14:paraId="13701F3E" w14:textId="77777777" w:rsidR="00BD7D18" w:rsidRDefault="00BD7D18" w:rsidP="00BD7D18">
            <w:pPr>
              <w:jc w:val="right"/>
            </w:pPr>
          </w:p>
        </w:tc>
      </w:tr>
      <w:tr w:rsidR="002B758F" w14:paraId="13701F44"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F40" w14:textId="77777777" w:rsidR="00BD7D18" w:rsidRPr="0002287D" w:rsidRDefault="00BD7D18" w:rsidP="00BD7D18">
            <w:pPr>
              <w:jc w:val="left"/>
            </w:pPr>
            <w:r w:rsidRPr="0002287D">
              <w:t xml:space="preserve">Forecast reduction in Licensing income </w:t>
            </w: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F41" w14:textId="77777777" w:rsidR="00BD7D18" w:rsidRPr="0002287D" w:rsidRDefault="00BD7D18" w:rsidP="00BD7D18">
            <w:pPr>
              <w:jc w:val="right"/>
              <w:rPr>
                <w:szCs w:val="22"/>
              </w:rPr>
            </w:pPr>
            <w:r w:rsidRPr="0002287D">
              <w:rPr>
                <w:szCs w:val="22"/>
              </w:rPr>
              <w:t>25</w:t>
            </w:r>
          </w:p>
        </w:tc>
        <w:tc>
          <w:tcPr>
            <w:tcW w:w="170" w:type="dxa"/>
            <w:tcBorders>
              <w:top w:val="nil"/>
              <w:left w:val="single" w:sz="4" w:space="0" w:color="BFBFBF" w:themeColor="background1" w:themeShade="BF"/>
              <w:bottom w:val="nil"/>
              <w:right w:val="single" w:sz="4" w:space="0" w:color="auto"/>
            </w:tcBorders>
            <w:tcMar>
              <w:left w:w="57" w:type="dxa"/>
              <w:right w:w="57" w:type="dxa"/>
            </w:tcMar>
          </w:tcPr>
          <w:p w14:paraId="13701F42" w14:textId="77777777" w:rsidR="00BD7D18" w:rsidRDefault="00BD7D18" w:rsidP="00BD7D18">
            <w:pPr>
              <w:jc w:val="right"/>
            </w:pPr>
          </w:p>
        </w:tc>
        <w:tc>
          <w:tcPr>
            <w:tcW w:w="1247" w:type="dxa"/>
            <w:vMerge/>
            <w:tcBorders>
              <w:top w:val="nil"/>
              <w:left w:val="single" w:sz="4" w:space="0" w:color="auto"/>
              <w:bottom w:val="nil"/>
            </w:tcBorders>
            <w:tcMar>
              <w:left w:w="57" w:type="dxa"/>
              <w:right w:w="284" w:type="dxa"/>
            </w:tcMar>
            <w:vAlign w:val="center"/>
          </w:tcPr>
          <w:p w14:paraId="13701F43" w14:textId="77777777" w:rsidR="00BD7D18" w:rsidRDefault="00BD7D18" w:rsidP="00BD7D18">
            <w:pPr>
              <w:jc w:val="right"/>
            </w:pPr>
          </w:p>
        </w:tc>
      </w:tr>
      <w:tr w:rsidR="002B758F" w14:paraId="13701F49"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F45" w14:textId="77777777" w:rsidR="00BD7D18" w:rsidRPr="0002287D" w:rsidRDefault="00BD7D18" w:rsidP="00BD7D18">
            <w:pPr>
              <w:jc w:val="left"/>
            </w:pP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F46" w14:textId="77777777" w:rsidR="00BD7D18" w:rsidRPr="0002287D" w:rsidRDefault="00BD7D18" w:rsidP="00BD7D18">
            <w:pPr>
              <w:jc w:val="right"/>
              <w:rPr>
                <w:szCs w:val="22"/>
              </w:rPr>
            </w:pPr>
          </w:p>
        </w:tc>
        <w:tc>
          <w:tcPr>
            <w:tcW w:w="170" w:type="dxa"/>
            <w:tcBorders>
              <w:top w:val="nil"/>
              <w:left w:val="single" w:sz="4" w:space="0" w:color="BFBFBF" w:themeColor="background1" w:themeShade="BF"/>
              <w:bottom w:val="nil"/>
              <w:right w:val="nil"/>
            </w:tcBorders>
            <w:tcMar>
              <w:left w:w="57" w:type="dxa"/>
              <w:right w:w="57" w:type="dxa"/>
            </w:tcMar>
          </w:tcPr>
          <w:p w14:paraId="13701F47" w14:textId="77777777" w:rsidR="00BD7D18" w:rsidRDefault="00BD7D18" w:rsidP="00BD7D18">
            <w:pPr>
              <w:jc w:val="right"/>
            </w:pPr>
          </w:p>
        </w:tc>
        <w:tc>
          <w:tcPr>
            <w:tcW w:w="1247" w:type="dxa"/>
            <w:tcBorders>
              <w:top w:val="nil"/>
              <w:left w:val="nil"/>
              <w:bottom w:val="nil"/>
            </w:tcBorders>
            <w:tcMar>
              <w:left w:w="57" w:type="dxa"/>
              <w:right w:w="284" w:type="dxa"/>
            </w:tcMar>
            <w:vAlign w:val="center"/>
          </w:tcPr>
          <w:p w14:paraId="13701F48" w14:textId="77777777" w:rsidR="00BD7D18" w:rsidRDefault="00BD7D18" w:rsidP="00BD7D18">
            <w:pPr>
              <w:jc w:val="right"/>
            </w:pPr>
          </w:p>
        </w:tc>
      </w:tr>
      <w:tr w:rsidR="002B758F" w:rsidRPr="00017022" w14:paraId="13701F4E"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F4A" w14:textId="77777777" w:rsidR="00BD7D18" w:rsidRPr="00017022" w:rsidRDefault="00BD7D18" w:rsidP="00BD7D18">
            <w:pPr>
              <w:rPr>
                <w:b/>
              </w:rPr>
            </w:pPr>
            <w:r w:rsidRPr="00017022">
              <w:rPr>
                <w:b/>
              </w:rPr>
              <w:t>Customer Experience &amp; Operations</w:t>
            </w: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F4B" w14:textId="77777777" w:rsidR="00BD7D18" w:rsidRPr="0002287D" w:rsidRDefault="00BD7D18" w:rsidP="00BD7D18">
            <w:pPr>
              <w:jc w:val="right"/>
              <w:rPr>
                <w:szCs w:val="22"/>
              </w:rPr>
            </w:pPr>
          </w:p>
        </w:tc>
        <w:tc>
          <w:tcPr>
            <w:tcW w:w="170" w:type="dxa"/>
            <w:tcBorders>
              <w:top w:val="nil"/>
              <w:left w:val="single" w:sz="4" w:space="0" w:color="BFBFBF" w:themeColor="background1" w:themeShade="BF"/>
              <w:bottom w:val="nil"/>
              <w:right w:val="nil"/>
            </w:tcBorders>
            <w:tcMar>
              <w:left w:w="57" w:type="dxa"/>
              <w:right w:w="57" w:type="dxa"/>
            </w:tcMar>
          </w:tcPr>
          <w:p w14:paraId="13701F4C" w14:textId="77777777" w:rsidR="00BD7D18" w:rsidRDefault="00BD7D18" w:rsidP="00BD7D18">
            <w:pPr>
              <w:jc w:val="right"/>
            </w:pPr>
          </w:p>
        </w:tc>
        <w:tc>
          <w:tcPr>
            <w:tcW w:w="1247" w:type="dxa"/>
            <w:tcBorders>
              <w:top w:val="nil"/>
              <w:left w:val="nil"/>
              <w:bottom w:val="nil"/>
            </w:tcBorders>
            <w:tcMar>
              <w:left w:w="57" w:type="dxa"/>
              <w:right w:w="284" w:type="dxa"/>
            </w:tcMar>
            <w:vAlign w:val="center"/>
          </w:tcPr>
          <w:p w14:paraId="13701F4D" w14:textId="77777777" w:rsidR="00BD7D18" w:rsidRDefault="00BD7D18" w:rsidP="00BD7D18">
            <w:pPr>
              <w:jc w:val="right"/>
            </w:pPr>
          </w:p>
        </w:tc>
      </w:tr>
      <w:tr w:rsidR="002B758F" w14:paraId="13701F53"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F4F" w14:textId="77777777" w:rsidR="00BD7D18" w:rsidRPr="0002287D" w:rsidRDefault="00BD7D18" w:rsidP="00BD7D18">
            <w:r w:rsidRPr="0002287D">
              <w:t>Staffing Variances</w:t>
            </w: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F50" w14:textId="77777777" w:rsidR="00BD7D18" w:rsidRDefault="00BD7D18" w:rsidP="00BD7D18">
            <w:pPr>
              <w:jc w:val="right"/>
            </w:pPr>
            <w:r>
              <w:t>(90)</w:t>
            </w:r>
          </w:p>
        </w:tc>
        <w:tc>
          <w:tcPr>
            <w:tcW w:w="170" w:type="dxa"/>
            <w:tcBorders>
              <w:top w:val="nil"/>
              <w:left w:val="single" w:sz="4" w:space="0" w:color="BFBFBF" w:themeColor="background1" w:themeShade="BF"/>
              <w:bottom w:val="nil"/>
              <w:right w:val="nil"/>
            </w:tcBorders>
            <w:tcMar>
              <w:left w:w="57" w:type="dxa"/>
              <w:right w:w="57" w:type="dxa"/>
            </w:tcMar>
          </w:tcPr>
          <w:p w14:paraId="13701F51" w14:textId="77777777" w:rsidR="00BD7D18" w:rsidRDefault="00BD7D18" w:rsidP="00BD7D18">
            <w:pPr>
              <w:jc w:val="right"/>
            </w:pPr>
          </w:p>
        </w:tc>
        <w:tc>
          <w:tcPr>
            <w:tcW w:w="1247" w:type="dxa"/>
            <w:tcBorders>
              <w:top w:val="nil"/>
              <w:left w:val="nil"/>
              <w:bottom w:val="nil"/>
            </w:tcBorders>
            <w:tcMar>
              <w:left w:w="57" w:type="dxa"/>
              <w:right w:w="284" w:type="dxa"/>
            </w:tcMar>
            <w:vAlign w:val="center"/>
          </w:tcPr>
          <w:p w14:paraId="13701F52" w14:textId="77777777" w:rsidR="00BD7D18" w:rsidRDefault="00BD7D18" w:rsidP="00BD7D18">
            <w:pPr>
              <w:jc w:val="right"/>
            </w:pPr>
            <w:r>
              <w:t>(90)</w:t>
            </w:r>
          </w:p>
        </w:tc>
      </w:tr>
      <w:tr w:rsidR="002B758F" w14:paraId="13701F58"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F54" w14:textId="77777777" w:rsidR="00BD7D18" w:rsidRPr="0002287D" w:rsidRDefault="00BD7D18" w:rsidP="00C04961">
            <w:pPr>
              <w:jc w:val="left"/>
            </w:pP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F55" w14:textId="77777777" w:rsidR="00BD7D18" w:rsidRPr="0002287D" w:rsidRDefault="00BD7D18" w:rsidP="00C04961">
            <w:pPr>
              <w:jc w:val="right"/>
              <w:rPr>
                <w:szCs w:val="22"/>
              </w:rPr>
            </w:pPr>
          </w:p>
        </w:tc>
        <w:tc>
          <w:tcPr>
            <w:tcW w:w="170" w:type="dxa"/>
            <w:tcBorders>
              <w:top w:val="nil"/>
              <w:left w:val="single" w:sz="4" w:space="0" w:color="BFBFBF" w:themeColor="background1" w:themeShade="BF"/>
              <w:bottom w:val="nil"/>
              <w:right w:val="nil"/>
            </w:tcBorders>
            <w:tcMar>
              <w:left w:w="57" w:type="dxa"/>
              <w:right w:w="57" w:type="dxa"/>
            </w:tcMar>
          </w:tcPr>
          <w:p w14:paraId="13701F56" w14:textId="77777777" w:rsidR="00BD7D18" w:rsidRDefault="00BD7D18" w:rsidP="00C04961">
            <w:pPr>
              <w:jc w:val="right"/>
            </w:pPr>
          </w:p>
        </w:tc>
        <w:tc>
          <w:tcPr>
            <w:tcW w:w="1247" w:type="dxa"/>
            <w:tcBorders>
              <w:top w:val="nil"/>
              <w:left w:val="nil"/>
              <w:bottom w:val="nil"/>
            </w:tcBorders>
            <w:tcMar>
              <w:left w:w="57" w:type="dxa"/>
              <w:right w:w="284" w:type="dxa"/>
            </w:tcMar>
            <w:vAlign w:val="center"/>
          </w:tcPr>
          <w:p w14:paraId="13701F57" w14:textId="77777777" w:rsidR="00BD7D18" w:rsidRDefault="00BD7D18" w:rsidP="00C04961">
            <w:pPr>
              <w:jc w:val="right"/>
            </w:pPr>
          </w:p>
        </w:tc>
      </w:tr>
      <w:tr w:rsidR="002B758F" w:rsidRPr="00017022" w14:paraId="13701F5D"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F59" w14:textId="77777777" w:rsidR="00BD7D18" w:rsidRPr="00017022" w:rsidRDefault="00BD7D18" w:rsidP="00C04961">
            <w:pPr>
              <w:rPr>
                <w:b/>
              </w:rPr>
            </w:pPr>
            <w:r>
              <w:rPr>
                <w:b/>
              </w:rPr>
              <w:t>Budgets not in directorates</w:t>
            </w: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F5A" w14:textId="77777777" w:rsidR="00BD7D18" w:rsidRPr="0002287D" w:rsidRDefault="00BD7D18" w:rsidP="00C04961">
            <w:pPr>
              <w:jc w:val="right"/>
              <w:rPr>
                <w:szCs w:val="22"/>
              </w:rPr>
            </w:pPr>
          </w:p>
        </w:tc>
        <w:tc>
          <w:tcPr>
            <w:tcW w:w="170" w:type="dxa"/>
            <w:tcBorders>
              <w:top w:val="nil"/>
              <w:left w:val="single" w:sz="4" w:space="0" w:color="BFBFBF" w:themeColor="background1" w:themeShade="BF"/>
              <w:bottom w:val="nil"/>
              <w:right w:val="nil"/>
            </w:tcBorders>
            <w:tcMar>
              <w:left w:w="57" w:type="dxa"/>
              <w:right w:w="57" w:type="dxa"/>
            </w:tcMar>
          </w:tcPr>
          <w:p w14:paraId="13701F5B" w14:textId="77777777" w:rsidR="00BD7D18" w:rsidRDefault="00BD7D18" w:rsidP="00C04961">
            <w:pPr>
              <w:jc w:val="right"/>
            </w:pPr>
          </w:p>
        </w:tc>
        <w:tc>
          <w:tcPr>
            <w:tcW w:w="1247" w:type="dxa"/>
            <w:tcBorders>
              <w:top w:val="nil"/>
              <w:left w:val="nil"/>
              <w:bottom w:val="nil"/>
            </w:tcBorders>
            <w:tcMar>
              <w:left w:w="57" w:type="dxa"/>
              <w:right w:w="284" w:type="dxa"/>
            </w:tcMar>
            <w:vAlign w:val="center"/>
          </w:tcPr>
          <w:p w14:paraId="13701F5C" w14:textId="77777777" w:rsidR="00BD7D18" w:rsidRDefault="00BD7D18" w:rsidP="00C04961">
            <w:pPr>
              <w:jc w:val="right"/>
            </w:pPr>
          </w:p>
        </w:tc>
      </w:tr>
      <w:tr w:rsidR="002B758F" w14:paraId="13701F62"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F5E" w14:textId="77777777" w:rsidR="00BD7D18" w:rsidRPr="0002287D" w:rsidRDefault="00BD7D18" w:rsidP="00BD7D18">
            <w:r>
              <w:t>Efficiency Targets</w:t>
            </w:r>
            <w:r w:rsidRPr="0002287D">
              <w:t xml:space="preserve"> </w:t>
            </w:r>
            <w:r>
              <w:t xml:space="preserve">– </w:t>
            </w:r>
            <w:r w:rsidRPr="0002287D">
              <w:t>Staff Turnover Target achieved</w:t>
            </w: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F5F" w14:textId="77777777" w:rsidR="00BD7D18" w:rsidRDefault="00BD7D18" w:rsidP="00BD7D18">
            <w:pPr>
              <w:jc w:val="right"/>
            </w:pPr>
            <w:r>
              <w:t>150</w:t>
            </w:r>
          </w:p>
        </w:tc>
        <w:tc>
          <w:tcPr>
            <w:tcW w:w="170" w:type="dxa"/>
            <w:tcBorders>
              <w:top w:val="nil"/>
              <w:left w:val="single" w:sz="4" w:space="0" w:color="BFBFBF" w:themeColor="background1" w:themeShade="BF"/>
              <w:bottom w:val="nil"/>
              <w:right w:val="nil"/>
            </w:tcBorders>
            <w:tcMar>
              <w:left w:w="57" w:type="dxa"/>
              <w:right w:w="57" w:type="dxa"/>
            </w:tcMar>
          </w:tcPr>
          <w:p w14:paraId="13701F60" w14:textId="77777777" w:rsidR="00BD7D18" w:rsidRDefault="00BD7D18" w:rsidP="00BD7D18">
            <w:pPr>
              <w:jc w:val="right"/>
            </w:pPr>
          </w:p>
        </w:tc>
        <w:tc>
          <w:tcPr>
            <w:tcW w:w="1247" w:type="dxa"/>
            <w:tcBorders>
              <w:top w:val="nil"/>
              <w:left w:val="nil"/>
              <w:bottom w:val="nil"/>
            </w:tcBorders>
            <w:tcMar>
              <w:left w:w="57" w:type="dxa"/>
              <w:right w:w="284" w:type="dxa"/>
            </w:tcMar>
            <w:vAlign w:val="center"/>
          </w:tcPr>
          <w:p w14:paraId="13701F61" w14:textId="77777777" w:rsidR="00BD7D18" w:rsidRDefault="00BD7D18" w:rsidP="00BD7D18">
            <w:pPr>
              <w:jc w:val="right"/>
            </w:pPr>
            <w:r>
              <w:t>150</w:t>
            </w:r>
          </w:p>
        </w:tc>
      </w:tr>
      <w:tr w:rsidR="002B758F" w14:paraId="13701F67" w14:textId="77777777" w:rsidTr="00582F03">
        <w:tc>
          <w:tcPr>
            <w:tcW w:w="5954" w:type="dxa"/>
            <w:tcBorders>
              <w:top w:val="nil"/>
              <w:right w:val="single" w:sz="4" w:space="0" w:color="BFBFBF" w:themeColor="background1" w:themeShade="BF"/>
            </w:tcBorders>
            <w:tcMar>
              <w:left w:w="57" w:type="dxa"/>
              <w:right w:w="57" w:type="dxa"/>
            </w:tcMar>
            <w:vAlign w:val="center"/>
          </w:tcPr>
          <w:p w14:paraId="13701F63" w14:textId="77777777" w:rsidR="00BD7D18" w:rsidRPr="0002287D" w:rsidRDefault="00BD7D18" w:rsidP="00BD7D18"/>
        </w:tc>
        <w:tc>
          <w:tcPr>
            <w:tcW w:w="1418" w:type="dxa"/>
            <w:tcBorders>
              <w:top w:val="nil"/>
              <w:left w:val="single" w:sz="4" w:space="0" w:color="BFBFBF" w:themeColor="background1" w:themeShade="BF"/>
              <w:bottom w:val="single" w:sz="4" w:space="0" w:color="auto"/>
              <w:right w:val="single" w:sz="4" w:space="0" w:color="BFBFBF" w:themeColor="background1" w:themeShade="BF"/>
            </w:tcBorders>
            <w:tcMar>
              <w:left w:w="57" w:type="dxa"/>
              <w:right w:w="284" w:type="dxa"/>
            </w:tcMar>
            <w:vAlign w:val="center"/>
          </w:tcPr>
          <w:p w14:paraId="13701F64" w14:textId="77777777" w:rsidR="00BD7D18" w:rsidRDefault="00BD7D18" w:rsidP="00BD7D18">
            <w:pPr>
              <w:jc w:val="right"/>
            </w:pPr>
          </w:p>
        </w:tc>
        <w:tc>
          <w:tcPr>
            <w:tcW w:w="170" w:type="dxa"/>
            <w:tcBorders>
              <w:top w:val="nil"/>
              <w:left w:val="single" w:sz="4" w:space="0" w:color="BFBFBF" w:themeColor="background1" w:themeShade="BF"/>
              <w:bottom w:val="single" w:sz="4" w:space="0" w:color="auto"/>
              <w:right w:val="nil"/>
            </w:tcBorders>
            <w:tcMar>
              <w:left w:w="57" w:type="dxa"/>
              <w:right w:w="57" w:type="dxa"/>
            </w:tcMar>
          </w:tcPr>
          <w:p w14:paraId="13701F65" w14:textId="77777777" w:rsidR="00BD7D18" w:rsidRDefault="00BD7D18" w:rsidP="00BD7D18">
            <w:pPr>
              <w:jc w:val="right"/>
            </w:pPr>
          </w:p>
        </w:tc>
        <w:tc>
          <w:tcPr>
            <w:tcW w:w="1247" w:type="dxa"/>
            <w:tcBorders>
              <w:top w:val="nil"/>
              <w:left w:val="nil"/>
              <w:bottom w:val="single" w:sz="4" w:space="0" w:color="auto"/>
            </w:tcBorders>
            <w:tcMar>
              <w:left w:w="57" w:type="dxa"/>
              <w:right w:w="284" w:type="dxa"/>
            </w:tcMar>
            <w:vAlign w:val="center"/>
          </w:tcPr>
          <w:p w14:paraId="13701F66" w14:textId="77777777" w:rsidR="00BD7D18" w:rsidRDefault="00BD7D18" w:rsidP="00BD7D18">
            <w:pPr>
              <w:jc w:val="right"/>
            </w:pPr>
          </w:p>
        </w:tc>
      </w:tr>
      <w:tr w:rsidR="002B758F" w:rsidRPr="00BD7D18" w14:paraId="13701F6C" w14:textId="77777777" w:rsidTr="00582F03">
        <w:tc>
          <w:tcPr>
            <w:tcW w:w="5954" w:type="dxa"/>
            <w:tcBorders>
              <w:right w:val="single" w:sz="4" w:space="0" w:color="BFBFBF" w:themeColor="background1" w:themeShade="BF"/>
            </w:tcBorders>
            <w:tcMar>
              <w:left w:w="57" w:type="dxa"/>
              <w:right w:w="57" w:type="dxa"/>
            </w:tcMar>
            <w:vAlign w:val="center"/>
          </w:tcPr>
          <w:p w14:paraId="13701F68" w14:textId="77777777" w:rsidR="00BD7D18" w:rsidRPr="00BD7D18" w:rsidRDefault="00BD7D18" w:rsidP="00BD7D18">
            <w:pPr>
              <w:rPr>
                <w:b/>
              </w:rPr>
            </w:pPr>
            <w:r w:rsidRPr="00BD7D18">
              <w:rPr>
                <w:b/>
              </w:rPr>
              <w:t>Net Cost of Services</w:t>
            </w:r>
          </w:p>
        </w:tc>
        <w:tc>
          <w:tcPr>
            <w:tcW w:w="1418" w:type="dxa"/>
            <w:tcBorders>
              <w:top w:val="single" w:sz="4" w:space="0" w:color="auto"/>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F69" w14:textId="77777777" w:rsidR="00BD7D18" w:rsidRPr="00BD7D18" w:rsidRDefault="00BD7D18" w:rsidP="0022379A">
            <w:pPr>
              <w:jc w:val="right"/>
              <w:rPr>
                <w:b/>
              </w:rPr>
            </w:pPr>
            <w:r w:rsidRPr="00BD7D18">
              <w:rPr>
                <w:b/>
              </w:rPr>
              <w:t>(</w:t>
            </w:r>
            <w:r w:rsidR="0022379A">
              <w:rPr>
                <w:b/>
              </w:rPr>
              <w:t>321</w:t>
            </w:r>
            <w:r w:rsidRPr="00BD7D18">
              <w:rPr>
                <w:b/>
              </w:rPr>
              <w:t>)</w:t>
            </w:r>
          </w:p>
        </w:tc>
        <w:tc>
          <w:tcPr>
            <w:tcW w:w="170" w:type="dxa"/>
            <w:tcBorders>
              <w:top w:val="single" w:sz="4" w:space="0" w:color="auto"/>
              <w:left w:val="single" w:sz="4" w:space="0" w:color="BFBFBF" w:themeColor="background1" w:themeShade="BF"/>
              <w:bottom w:val="nil"/>
              <w:right w:val="nil"/>
            </w:tcBorders>
            <w:tcMar>
              <w:left w:w="57" w:type="dxa"/>
              <w:right w:w="57" w:type="dxa"/>
            </w:tcMar>
          </w:tcPr>
          <w:p w14:paraId="13701F6A" w14:textId="77777777" w:rsidR="00BD7D18" w:rsidRPr="00BD7D18" w:rsidRDefault="00BD7D18" w:rsidP="00BD7D18">
            <w:pPr>
              <w:jc w:val="right"/>
              <w:rPr>
                <w:b/>
              </w:rPr>
            </w:pPr>
          </w:p>
        </w:tc>
        <w:tc>
          <w:tcPr>
            <w:tcW w:w="1247" w:type="dxa"/>
            <w:tcBorders>
              <w:top w:val="single" w:sz="4" w:space="0" w:color="auto"/>
              <w:left w:val="nil"/>
              <w:bottom w:val="nil"/>
            </w:tcBorders>
            <w:tcMar>
              <w:left w:w="57" w:type="dxa"/>
              <w:right w:w="284" w:type="dxa"/>
            </w:tcMar>
            <w:vAlign w:val="center"/>
          </w:tcPr>
          <w:p w14:paraId="13701F6B" w14:textId="77777777" w:rsidR="00BD7D18" w:rsidRPr="00BD7D18" w:rsidRDefault="00BD7D18" w:rsidP="0022379A">
            <w:pPr>
              <w:jc w:val="right"/>
              <w:rPr>
                <w:b/>
              </w:rPr>
            </w:pPr>
            <w:r w:rsidRPr="00BD7D18">
              <w:rPr>
                <w:b/>
              </w:rPr>
              <w:t>(</w:t>
            </w:r>
            <w:r w:rsidR="0022379A">
              <w:rPr>
                <w:b/>
              </w:rPr>
              <w:t>321</w:t>
            </w:r>
            <w:r w:rsidRPr="00BD7D18">
              <w:rPr>
                <w:b/>
              </w:rPr>
              <w:t>)</w:t>
            </w:r>
          </w:p>
        </w:tc>
      </w:tr>
      <w:tr w:rsidR="002B758F" w14:paraId="13701F71" w14:textId="77777777" w:rsidTr="00582F03">
        <w:tc>
          <w:tcPr>
            <w:tcW w:w="5954" w:type="dxa"/>
            <w:tcBorders>
              <w:bottom w:val="nil"/>
              <w:right w:val="single" w:sz="4" w:space="0" w:color="BFBFBF" w:themeColor="background1" w:themeShade="BF"/>
            </w:tcBorders>
            <w:tcMar>
              <w:left w:w="57" w:type="dxa"/>
              <w:right w:w="57" w:type="dxa"/>
            </w:tcMar>
            <w:vAlign w:val="center"/>
          </w:tcPr>
          <w:p w14:paraId="13701F6D" w14:textId="77777777" w:rsidR="00BD7D18" w:rsidRPr="0002287D" w:rsidRDefault="00BD7D18" w:rsidP="00BD7D18">
            <w:pPr>
              <w:jc w:val="right"/>
            </w:pP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F6E" w14:textId="77777777" w:rsidR="00BD7D18" w:rsidRDefault="00BD7D18" w:rsidP="00BD7D18">
            <w:pPr>
              <w:jc w:val="right"/>
            </w:pPr>
          </w:p>
        </w:tc>
        <w:tc>
          <w:tcPr>
            <w:tcW w:w="170" w:type="dxa"/>
            <w:tcBorders>
              <w:top w:val="nil"/>
              <w:left w:val="single" w:sz="4" w:space="0" w:color="BFBFBF" w:themeColor="background1" w:themeShade="BF"/>
              <w:bottom w:val="nil"/>
              <w:right w:val="nil"/>
            </w:tcBorders>
            <w:tcMar>
              <w:left w:w="57" w:type="dxa"/>
              <w:right w:w="57" w:type="dxa"/>
            </w:tcMar>
          </w:tcPr>
          <w:p w14:paraId="13701F6F" w14:textId="77777777" w:rsidR="00BD7D18" w:rsidRDefault="00BD7D18" w:rsidP="00BD7D18">
            <w:pPr>
              <w:jc w:val="right"/>
            </w:pPr>
          </w:p>
        </w:tc>
        <w:tc>
          <w:tcPr>
            <w:tcW w:w="1247" w:type="dxa"/>
            <w:tcBorders>
              <w:top w:val="nil"/>
              <w:left w:val="nil"/>
              <w:bottom w:val="nil"/>
            </w:tcBorders>
            <w:tcMar>
              <w:left w:w="57" w:type="dxa"/>
              <w:right w:w="284" w:type="dxa"/>
            </w:tcMar>
            <w:vAlign w:val="center"/>
          </w:tcPr>
          <w:p w14:paraId="13701F70" w14:textId="77777777" w:rsidR="00BD7D18" w:rsidRDefault="00BD7D18" w:rsidP="00BD7D18">
            <w:pPr>
              <w:jc w:val="right"/>
            </w:pPr>
          </w:p>
        </w:tc>
      </w:tr>
      <w:tr w:rsidR="002B758F" w14:paraId="13701F76"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F72" w14:textId="77777777" w:rsidR="00BD7D18" w:rsidRPr="0002287D" w:rsidRDefault="00BD7D18" w:rsidP="00BD7D18">
            <w:r w:rsidRPr="0002287D">
              <w:t>Interest on short-term investments</w:t>
            </w: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F73" w14:textId="77777777" w:rsidR="00BD7D18" w:rsidRDefault="00BD7D18" w:rsidP="00BD7D18">
            <w:pPr>
              <w:jc w:val="right"/>
            </w:pPr>
            <w:r>
              <w:t>(80)</w:t>
            </w:r>
          </w:p>
        </w:tc>
        <w:tc>
          <w:tcPr>
            <w:tcW w:w="170" w:type="dxa"/>
            <w:tcBorders>
              <w:top w:val="nil"/>
              <w:left w:val="single" w:sz="4" w:space="0" w:color="BFBFBF" w:themeColor="background1" w:themeShade="BF"/>
              <w:bottom w:val="nil"/>
              <w:right w:val="nil"/>
            </w:tcBorders>
            <w:tcMar>
              <w:left w:w="57" w:type="dxa"/>
              <w:right w:w="57" w:type="dxa"/>
            </w:tcMar>
          </w:tcPr>
          <w:p w14:paraId="13701F74" w14:textId="77777777" w:rsidR="00BD7D18" w:rsidRDefault="00BD7D18" w:rsidP="00BD7D18">
            <w:pPr>
              <w:jc w:val="right"/>
            </w:pPr>
          </w:p>
        </w:tc>
        <w:tc>
          <w:tcPr>
            <w:tcW w:w="1247" w:type="dxa"/>
            <w:tcBorders>
              <w:top w:val="nil"/>
              <w:left w:val="nil"/>
              <w:bottom w:val="nil"/>
            </w:tcBorders>
            <w:tcMar>
              <w:left w:w="57" w:type="dxa"/>
              <w:right w:w="284" w:type="dxa"/>
            </w:tcMar>
            <w:vAlign w:val="center"/>
          </w:tcPr>
          <w:p w14:paraId="13701F75" w14:textId="77777777" w:rsidR="00BD7D18" w:rsidRDefault="00BD7D18" w:rsidP="00BD7D18">
            <w:pPr>
              <w:jc w:val="right"/>
            </w:pPr>
            <w:r>
              <w:t>(80)</w:t>
            </w:r>
          </w:p>
        </w:tc>
      </w:tr>
      <w:tr w:rsidR="00653C71" w14:paraId="13701F7B"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F77" w14:textId="77777777" w:rsidR="00653C71" w:rsidRPr="0002287D" w:rsidRDefault="00653C71" w:rsidP="00BD7D18"/>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F78" w14:textId="77777777" w:rsidR="00653C71" w:rsidRDefault="00653C71" w:rsidP="00BD7D18">
            <w:pPr>
              <w:jc w:val="right"/>
            </w:pPr>
          </w:p>
        </w:tc>
        <w:tc>
          <w:tcPr>
            <w:tcW w:w="170" w:type="dxa"/>
            <w:tcBorders>
              <w:top w:val="nil"/>
              <w:left w:val="single" w:sz="4" w:space="0" w:color="BFBFBF" w:themeColor="background1" w:themeShade="BF"/>
              <w:bottom w:val="nil"/>
              <w:right w:val="nil"/>
            </w:tcBorders>
            <w:tcMar>
              <w:left w:w="57" w:type="dxa"/>
              <w:right w:w="57" w:type="dxa"/>
            </w:tcMar>
          </w:tcPr>
          <w:p w14:paraId="13701F79" w14:textId="77777777" w:rsidR="00653C71" w:rsidRDefault="00653C71" w:rsidP="00BD7D18">
            <w:pPr>
              <w:jc w:val="right"/>
            </w:pPr>
          </w:p>
        </w:tc>
        <w:tc>
          <w:tcPr>
            <w:tcW w:w="1247" w:type="dxa"/>
            <w:tcBorders>
              <w:top w:val="nil"/>
              <w:left w:val="nil"/>
              <w:bottom w:val="nil"/>
            </w:tcBorders>
            <w:tcMar>
              <w:left w:w="57" w:type="dxa"/>
              <w:right w:w="284" w:type="dxa"/>
            </w:tcMar>
            <w:vAlign w:val="center"/>
          </w:tcPr>
          <w:p w14:paraId="13701F7A" w14:textId="77777777" w:rsidR="00653C71" w:rsidRDefault="00653C71" w:rsidP="00BD7D18">
            <w:pPr>
              <w:jc w:val="right"/>
            </w:pPr>
          </w:p>
        </w:tc>
      </w:tr>
      <w:tr w:rsidR="002B758F" w14:paraId="13701F80" w14:textId="77777777" w:rsidTr="00582F03">
        <w:tc>
          <w:tcPr>
            <w:tcW w:w="5954" w:type="dxa"/>
            <w:tcBorders>
              <w:top w:val="nil"/>
              <w:bottom w:val="nil"/>
              <w:right w:val="single" w:sz="4" w:space="0" w:color="BFBFBF" w:themeColor="background1" w:themeShade="BF"/>
            </w:tcBorders>
            <w:tcMar>
              <w:left w:w="57" w:type="dxa"/>
              <w:right w:w="57" w:type="dxa"/>
            </w:tcMar>
            <w:vAlign w:val="center"/>
          </w:tcPr>
          <w:p w14:paraId="13701F7C" w14:textId="77777777" w:rsidR="00BD7D18" w:rsidRPr="0002287D" w:rsidRDefault="00BD7D18" w:rsidP="00BD7D18">
            <w:pPr>
              <w:jc w:val="left"/>
            </w:pPr>
            <w:r>
              <w:t xml:space="preserve">Additional </w:t>
            </w:r>
            <w:r w:rsidRPr="004B46C7">
              <w:t>Contribution to</w:t>
            </w:r>
            <w:r>
              <w:t xml:space="preserve"> </w:t>
            </w:r>
            <w:r w:rsidRPr="004B46C7">
              <w:t>/</w:t>
            </w:r>
            <w:r>
              <w:t xml:space="preserve"> </w:t>
            </w:r>
            <w:r w:rsidRPr="004B46C7">
              <w:t>(from) reserves</w:t>
            </w:r>
            <w:r>
              <w:t xml:space="preserve"> compared to budget</w:t>
            </w:r>
            <w:r w:rsidRPr="0002287D">
              <w:t xml:space="preserve"> </w:t>
            </w:r>
            <w:r>
              <w:t xml:space="preserve">- </w:t>
            </w:r>
            <w:r w:rsidRPr="0002287D">
              <w:t xml:space="preserve">Retained Business Rates and s31 grant funding </w:t>
            </w:r>
          </w:p>
        </w:tc>
        <w:tc>
          <w:tcPr>
            <w:tcW w:w="1418" w:type="dxa"/>
            <w:tcBorders>
              <w:top w:val="nil"/>
              <w:left w:val="single" w:sz="4" w:space="0" w:color="BFBFBF" w:themeColor="background1" w:themeShade="BF"/>
              <w:bottom w:val="nil"/>
              <w:right w:val="single" w:sz="4" w:space="0" w:color="BFBFBF" w:themeColor="background1" w:themeShade="BF"/>
            </w:tcBorders>
            <w:tcMar>
              <w:left w:w="57" w:type="dxa"/>
              <w:right w:w="284" w:type="dxa"/>
            </w:tcMar>
            <w:vAlign w:val="center"/>
          </w:tcPr>
          <w:p w14:paraId="13701F7D" w14:textId="77777777" w:rsidR="00BD7D18" w:rsidRDefault="00BD7D18" w:rsidP="00BD7D18">
            <w:pPr>
              <w:jc w:val="right"/>
            </w:pPr>
            <w:r>
              <w:t>(280)</w:t>
            </w:r>
          </w:p>
        </w:tc>
        <w:tc>
          <w:tcPr>
            <w:tcW w:w="170" w:type="dxa"/>
            <w:tcBorders>
              <w:top w:val="nil"/>
              <w:left w:val="single" w:sz="4" w:space="0" w:color="BFBFBF" w:themeColor="background1" w:themeShade="BF"/>
              <w:bottom w:val="nil"/>
              <w:right w:val="nil"/>
            </w:tcBorders>
            <w:tcMar>
              <w:left w:w="57" w:type="dxa"/>
              <w:right w:w="57" w:type="dxa"/>
            </w:tcMar>
          </w:tcPr>
          <w:p w14:paraId="13701F7E" w14:textId="77777777" w:rsidR="00BD7D18" w:rsidRDefault="00BD7D18" w:rsidP="00BD7D18">
            <w:pPr>
              <w:jc w:val="right"/>
            </w:pPr>
          </w:p>
        </w:tc>
        <w:tc>
          <w:tcPr>
            <w:tcW w:w="1247" w:type="dxa"/>
            <w:tcBorders>
              <w:top w:val="nil"/>
              <w:left w:val="nil"/>
              <w:bottom w:val="nil"/>
            </w:tcBorders>
            <w:tcMar>
              <w:left w:w="57" w:type="dxa"/>
              <w:right w:w="284" w:type="dxa"/>
            </w:tcMar>
            <w:vAlign w:val="center"/>
          </w:tcPr>
          <w:p w14:paraId="13701F7F" w14:textId="77777777" w:rsidR="00BD7D18" w:rsidRDefault="00BD7D18" w:rsidP="00BD7D18">
            <w:pPr>
              <w:jc w:val="right"/>
            </w:pPr>
            <w:r>
              <w:t>(280)</w:t>
            </w:r>
          </w:p>
        </w:tc>
      </w:tr>
      <w:tr w:rsidR="002B758F" w14:paraId="13701F85" w14:textId="77777777" w:rsidTr="00582F03">
        <w:tc>
          <w:tcPr>
            <w:tcW w:w="5954" w:type="dxa"/>
            <w:tcBorders>
              <w:top w:val="nil"/>
              <w:right w:val="single" w:sz="4" w:space="0" w:color="BFBFBF" w:themeColor="background1" w:themeShade="BF"/>
            </w:tcBorders>
            <w:tcMar>
              <w:left w:w="57" w:type="dxa"/>
              <w:right w:w="57" w:type="dxa"/>
            </w:tcMar>
            <w:vAlign w:val="center"/>
          </w:tcPr>
          <w:p w14:paraId="13701F81" w14:textId="77777777" w:rsidR="00BD7D18" w:rsidRDefault="00BD7D18" w:rsidP="00BD7D18">
            <w:pPr>
              <w:jc w:val="left"/>
            </w:pPr>
          </w:p>
        </w:tc>
        <w:tc>
          <w:tcPr>
            <w:tcW w:w="1418" w:type="dxa"/>
            <w:tcBorders>
              <w:top w:val="nil"/>
              <w:left w:val="single" w:sz="4" w:space="0" w:color="BFBFBF" w:themeColor="background1" w:themeShade="BF"/>
              <w:bottom w:val="single" w:sz="4" w:space="0" w:color="auto"/>
              <w:right w:val="single" w:sz="4" w:space="0" w:color="BFBFBF" w:themeColor="background1" w:themeShade="BF"/>
            </w:tcBorders>
            <w:tcMar>
              <w:left w:w="57" w:type="dxa"/>
              <w:right w:w="284" w:type="dxa"/>
            </w:tcMar>
            <w:vAlign w:val="center"/>
          </w:tcPr>
          <w:p w14:paraId="13701F82" w14:textId="77777777" w:rsidR="00BD7D18" w:rsidRDefault="00BD7D18" w:rsidP="00BD7D18">
            <w:pPr>
              <w:jc w:val="right"/>
            </w:pPr>
          </w:p>
        </w:tc>
        <w:tc>
          <w:tcPr>
            <w:tcW w:w="170" w:type="dxa"/>
            <w:tcBorders>
              <w:top w:val="nil"/>
              <w:left w:val="single" w:sz="4" w:space="0" w:color="BFBFBF" w:themeColor="background1" w:themeShade="BF"/>
              <w:bottom w:val="single" w:sz="4" w:space="0" w:color="auto"/>
              <w:right w:val="nil"/>
            </w:tcBorders>
            <w:tcMar>
              <w:left w:w="57" w:type="dxa"/>
              <w:right w:w="57" w:type="dxa"/>
            </w:tcMar>
          </w:tcPr>
          <w:p w14:paraId="13701F83" w14:textId="77777777" w:rsidR="00BD7D18" w:rsidRDefault="00BD7D18" w:rsidP="00BD7D18">
            <w:pPr>
              <w:jc w:val="right"/>
            </w:pPr>
          </w:p>
        </w:tc>
        <w:tc>
          <w:tcPr>
            <w:tcW w:w="1247" w:type="dxa"/>
            <w:tcBorders>
              <w:top w:val="nil"/>
              <w:left w:val="nil"/>
              <w:bottom w:val="single" w:sz="4" w:space="0" w:color="auto"/>
            </w:tcBorders>
            <w:tcMar>
              <w:left w:w="57" w:type="dxa"/>
              <w:right w:w="284" w:type="dxa"/>
            </w:tcMar>
            <w:vAlign w:val="center"/>
          </w:tcPr>
          <w:p w14:paraId="13701F84" w14:textId="77777777" w:rsidR="00BD7D18" w:rsidRDefault="00BD7D18" w:rsidP="00BD7D18">
            <w:pPr>
              <w:jc w:val="right"/>
            </w:pPr>
          </w:p>
        </w:tc>
      </w:tr>
      <w:tr w:rsidR="002B758F" w:rsidRPr="00BD7D18" w14:paraId="13701F8A" w14:textId="77777777" w:rsidTr="00582F03">
        <w:tc>
          <w:tcPr>
            <w:tcW w:w="5954" w:type="dxa"/>
            <w:tcBorders>
              <w:right w:val="single" w:sz="4" w:space="0" w:color="BFBFBF" w:themeColor="background1" w:themeShade="BF"/>
            </w:tcBorders>
            <w:tcMar>
              <w:left w:w="57" w:type="dxa"/>
              <w:right w:w="57" w:type="dxa"/>
            </w:tcMar>
            <w:vAlign w:val="center"/>
          </w:tcPr>
          <w:p w14:paraId="13701F86" w14:textId="77777777" w:rsidR="00BD7D18" w:rsidRPr="00BD7D18" w:rsidRDefault="00BD7D18" w:rsidP="00BD7D18">
            <w:pPr>
              <w:rPr>
                <w:b/>
              </w:rPr>
            </w:pPr>
            <w:r w:rsidRPr="00BD7D18">
              <w:rPr>
                <w:b/>
              </w:rPr>
              <w:t xml:space="preserve">TOTAL </w:t>
            </w:r>
          </w:p>
        </w:tc>
        <w:tc>
          <w:tcPr>
            <w:tcW w:w="1418"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left w:w="57" w:type="dxa"/>
              <w:right w:w="284" w:type="dxa"/>
            </w:tcMar>
            <w:vAlign w:val="center"/>
          </w:tcPr>
          <w:p w14:paraId="13701F87" w14:textId="77777777" w:rsidR="00BD7D18" w:rsidRPr="00BD7D18" w:rsidRDefault="00BD7D18" w:rsidP="0022379A">
            <w:pPr>
              <w:jc w:val="right"/>
              <w:rPr>
                <w:b/>
              </w:rPr>
            </w:pPr>
            <w:r w:rsidRPr="00BD7D18">
              <w:rPr>
                <w:b/>
              </w:rPr>
              <w:t>(6</w:t>
            </w:r>
            <w:r w:rsidR="0022379A">
              <w:rPr>
                <w:b/>
              </w:rPr>
              <w:t>8</w:t>
            </w:r>
            <w:r w:rsidRPr="00BD7D18">
              <w:rPr>
                <w:b/>
              </w:rPr>
              <w:t>1)</w:t>
            </w:r>
          </w:p>
        </w:tc>
        <w:tc>
          <w:tcPr>
            <w:tcW w:w="170" w:type="dxa"/>
            <w:tcBorders>
              <w:top w:val="single" w:sz="4" w:space="0" w:color="auto"/>
              <w:left w:val="single" w:sz="4" w:space="0" w:color="BFBFBF" w:themeColor="background1" w:themeShade="BF"/>
              <w:bottom w:val="single" w:sz="4" w:space="0" w:color="auto"/>
              <w:right w:val="nil"/>
            </w:tcBorders>
            <w:tcMar>
              <w:left w:w="57" w:type="dxa"/>
              <w:right w:w="57" w:type="dxa"/>
            </w:tcMar>
          </w:tcPr>
          <w:p w14:paraId="13701F88" w14:textId="77777777" w:rsidR="00BD7D18" w:rsidRPr="00BD7D18" w:rsidRDefault="00BD7D18" w:rsidP="00BD7D18">
            <w:pPr>
              <w:jc w:val="right"/>
              <w:rPr>
                <w:b/>
              </w:rPr>
            </w:pPr>
          </w:p>
        </w:tc>
        <w:tc>
          <w:tcPr>
            <w:tcW w:w="1247" w:type="dxa"/>
            <w:tcBorders>
              <w:top w:val="single" w:sz="4" w:space="0" w:color="auto"/>
              <w:left w:val="nil"/>
              <w:bottom w:val="single" w:sz="4" w:space="0" w:color="auto"/>
            </w:tcBorders>
            <w:tcMar>
              <w:left w:w="57" w:type="dxa"/>
              <w:right w:w="284" w:type="dxa"/>
            </w:tcMar>
            <w:vAlign w:val="center"/>
          </w:tcPr>
          <w:p w14:paraId="13701F89" w14:textId="77777777" w:rsidR="00BD7D18" w:rsidRPr="00BD7D18" w:rsidRDefault="00BD7D18" w:rsidP="0022379A">
            <w:pPr>
              <w:jc w:val="right"/>
              <w:rPr>
                <w:b/>
              </w:rPr>
            </w:pPr>
            <w:r w:rsidRPr="00BD7D18">
              <w:rPr>
                <w:b/>
              </w:rPr>
              <w:t>(6</w:t>
            </w:r>
            <w:r w:rsidR="0022379A">
              <w:rPr>
                <w:b/>
              </w:rPr>
              <w:t>8</w:t>
            </w:r>
            <w:r w:rsidRPr="00BD7D18">
              <w:rPr>
                <w:b/>
              </w:rPr>
              <w:t>1)</w:t>
            </w:r>
          </w:p>
        </w:tc>
      </w:tr>
      <w:tr w:rsidR="002B758F" w14:paraId="13701F8F" w14:textId="77777777" w:rsidTr="00582F03">
        <w:tc>
          <w:tcPr>
            <w:tcW w:w="5954" w:type="dxa"/>
            <w:tcBorders>
              <w:right w:val="single" w:sz="4" w:space="0" w:color="BFBFBF" w:themeColor="background1" w:themeShade="BF"/>
            </w:tcBorders>
            <w:tcMar>
              <w:left w:w="57" w:type="dxa"/>
              <w:right w:w="57" w:type="dxa"/>
            </w:tcMar>
            <w:vAlign w:val="center"/>
          </w:tcPr>
          <w:p w14:paraId="13701F8B" w14:textId="77777777" w:rsidR="00BD7D18" w:rsidRDefault="00BD7D18" w:rsidP="00BD7D18"/>
        </w:tc>
        <w:tc>
          <w:tcPr>
            <w:tcW w:w="1418" w:type="dxa"/>
            <w:tcBorders>
              <w:top w:val="single" w:sz="4" w:space="0" w:color="auto"/>
              <w:left w:val="single" w:sz="4" w:space="0" w:color="BFBFBF" w:themeColor="background1" w:themeShade="BF"/>
              <w:bottom w:val="single" w:sz="4" w:space="0" w:color="auto"/>
              <w:right w:val="single" w:sz="4" w:space="0" w:color="BFBFBF" w:themeColor="background1" w:themeShade="BF"/>
            </w:tcBorders>
            <w:tcMar>
              <w:left w:w="57" w:type="dxa"/>
              <w:right w:w="284" w:type="dxa"/>
            </w:tcMar>
            <w:vAlign w:val="center"/>
          </w:tcPr>
          <w:p w14:paraId="13701F8C" w14:textId="77777777" w:rsidR="00BD7D18" w:rsidRDefault="00BD7D18" w:rsidP="00BD7D18">
            <w:pPr>
              <w:jc w:val="right"/>
            </w:pPr>
          </w:p>
        </w:tc>
        <w:tc>
          <w:tcPr>
            <w:tcW w:w="170" w:type="dxa"/>
            <w:tcBorders>
              <w:top w:val="single" w:sz="4" w:space="0" w:color="auto"/>
              <w:left w:val="single" w:sz="4" w:space="0" w:color="BFBFBF" w:themeColor="background1" w:themeShade="BF"/>
              <w:bottom w:val="single" w:sz="4" w:space="0" w:color="auto"/>
              <w:right w:val="nil"/>
            </w:tcBorders>
            <w:tcMar>
              <w:left w:w="57" w:type="dxa"/>
              <w:right w:w="57" w:type="dxa"/>
            </w:tcMar>
          </w:tcPr>
          <w:p w14:paraId="13701F8D" w14:textId="77777777" w:rsidR="00BD7D18" w:rsidRDefault="00BD7D18" w:rsidP="00BD7D18">
            <w:pPr>
              <w:jc w:val="right"/>
            </w:pPr>
          </w:p>
        </w:tc>
        <w:tc>
          <w:tcPr>
            <w:tcW w:w="1247" w:type="dxa"/>
            <w:tcBorders>
              <w:top w:val="single" w:sz="4" w:space="0" w:color="auto"/>
              <w:left w:val="nil"/>
              <w:bottom w:val="single" w:sz="4" w:space="0" w:color="auto"/>
            </w:tcBorders>
            <w:tcMar>
              <w:left w:w="57" w:type="dxa"/>
              <w:right w:w="284" w:type="dxa"/>
            </w:tcMar>
            <w:vAlign w:val="center"/>
          </w:tcPr>
          <w:p w14:paraId="13701F8E" w14:textId="77777777" w:rsidR="00BD7D18" w:rsidRDefault="00BD7D18" w:rsidP="00BD7D18">
            <w:pPr>
              <w:jc w:val="right"/>
            </w:pPr>
          </w:p>
        </w:tc>
      </w:tr>
    </w:tbl>
    <w:p w14:paraId="13701F90" w14:textId="77777777" w:rsidR="009F68B5" w:rsidRDefault="009F68B5" w:rsidP="00582F03">
      <w:pPr>
        <w:pStyle w:val="Heading2"/>
        <w:ind w:left="601"/>
      </w:pPr>
      <w:r>
        <w:lastRenderedPageBreak/>
        <w:t xml:space="preserve">Staffing </w:t>
      </w:r>
      <w:r w:rsidR="005D7544">
        <w:t>C</w:t>
      </w:r>
      <w:r>
        <w:t>osts</w:t>
      </w:r>
    </w:p>
    <w:p w14:paraId="13701F91" w14:textId="77777777" w:rsidR="007D2B60" w:rsidRPr="00A57444" w:rsidRDefault="007839FA" w:rsidP="00582F03">
      <w:pPr>
        <w:pStyle w:val="ListParagraph"/>
        <w:ind w:left="955"/>
      </w:pPr>
      <w:r>
        <w:t xml:space="preserve">The forecast savings in staffing costs </w:t>
      </w:r>
      <w:r w:rsidRPr="00A57444">
        <w:t xml:space="preserve">is £476,000 and this is partly offset by the £150,000 turnover target, giving a net saving of £326,000. </w:t>
      </w:r>
      <w:r w:rsidR="005864F4">
        <w:t xml:space="preserve"> </w:t>
      </w:r>
      <w:r w:rsidR="007D2B60" w:rsidRPr="00A57444">
        <w:t>The main reasons for this forecast variance are as follows:</w:t>
      </w:r>
    </w:p>
    <w:p w14:paraId="13701F92" w14:textId="77777777" w:rsidR="007D2B60" w:rsidRDefault="007D2B60" w:rsidP="00582F03">
      <w:pPr>
        <w:pStyle w:val="ListParagraph"/>
        <w:numPr>
          <w:ilvl w:val="0"/>
          <w:numId w:val="8"/>
        </w:numPr>
        <w:ind w:left="1240"/>
      </w:pPr>
      <w:r>
        <w:t xml:space="preserve">Neighbourhoods and Development </w:t>
      </w:r>
      <w:r w:rsidR="005864F4">
        <w:t xml:space="preserve">– The </w:t>
      </w:r>
      <w:r>
        <w:t xml:space="preserve">directorate budget for 2019/20 included a provision of £200,000 </w:t>
      </w:r>
      <w:r w:rsidRPr="007D2B60">
        <w:t xml:space="preserve">to </w:t>
      </w:r>
      <w:r>
        <w:t xml:space="preserve">fund additional staff resources and equipment to support the </w:t>
      </w:r>
      <w:r w:rsidR="00C63429">
        <w:t xml:space="preserve">completion </w:t>
      </w:r>
      <w:r>
        <w:t xml:space="preserve">of </w:t>
      </w:r>
      <w:r w:rsidRPr="007D2B60">
        <w:t>all scheduled work</w:t>
      </w:r>
      <w:r>
        <w:t xml:space="preserve"> undertaken by the grounds maintenance and cleansing teams. This included a</w:t>
      </w:r>
      <w:r w:rsidR="00C63429">
        <w:t xml:space="preserve"> full year </w:t>
      </w:r>
      <w:r>
        <w:t>allocation</w:t>
      </w:r>
      <w:r w:rsidR="0002287D">
        <w:t xml:space="preserve"> of £160,000 for staffing costs.</w:t>
      </w:r>
      <w:r>
        <w:t xml:space="preserve"> </w:t>
      </w:r>
      <w:r w:rsidR="0002287D">
        <w:t xml:space="preserve"> R</w:t>
      </w:r>
      <w:r>
        <w:t xml:space="preserve">ecruitment to the new posts has been has </w:t>
      </w:r>
      <w:r w:rsidR="00C63429">
        <w:t>carried out during the year and £</w:t>
      </w:r>
      <w:r>
        <w:t>65,000 is forecast to be spent</w:t>
      </w:r>
      <w:r w:rsidR="00C63429">
        <w:t>. Therefore the part-y</w:t>
      </w:r>
      <w:r w:rsidR="00A069E7">
        <w:t>ear saving forecast is £95,000.</w:t>
      </w:r>
    </w:p>
    <w:p w14:paraId="13701F93" w14:textId="77777777" w:rsidR="00C63429" w:rsidRPr="005A791D" w:rsidRDefault="005864F4" w:rsidP="00582F03">
      <w:pPr>
        <w:pStyle w:val="ListParagraph"/>
        <w:numPr>
          <w:ilvl w:val="0"/>
          <w:numId w:val="8"/>
        </w:numPr>
        <w:ind w:left="1240"/>
      </w:pPr>
      <w:r w:rsidRPr="005A791D">
        <w:t xml:space="preserve">Planning and Property </w:t>
      </w:r>
      <w:r>
        <w:t xml:space="preserve">– </w:t>
      </w:r>
      <w:r w:rsidR="00C63429" w:rsidRPr="005A791D">
        <w:t xml:space="preserve">The staffing-related savings </w:t>
      </w:r>
      <w:r w:rsidR="00EB655A" w:rsidRPr="005A791D">
        <w:t xml:space="preserve">forecast </w:t>
      </w:r>
      <w:r w:rsidR="00C63429" w:rsidRPr="005A791D">
        <w:t>in the directorate are mainly due to vacan</w:t>
      </w:r>
      <w:r w:rsidR="00EB655A" w:rsidRPr="005A791D">
        <w:t>cies</w:t>
      </w:r>
      <w:r w:rsidR="0002287D" w:rsidRPr="005A791D">
        <w:t>.  Most of the corporate a</w:t>
      </w:r>
      <w:r w:rsidR="00C63429" w:rsidRPr="005A791D">
        <w:t>pprenticeship posts</w:t>
      </w:r>
      <w:r w:rsidR="0002287D" w:rsidRPr="005A791D">
        <w:t>, which sit in this directorate, are currently vacant but a</w:t>
      </w:r>
      <w:r w:rsidR="00EB655A" w:rsidRPr="005A791D">
        <w:t xml:space="preserve"> recruitment process is underway</w:t>
      </w:r>
      <w:r w:rsidR="0002287D" w:rsidRPr="005A791D">
        <w:t xml:space="preserve"> and the</w:t>
      </w:r>
      <w:r w:rsidR="005A791D">
        <w:t xml:space="preserve"> posts</w:t>
      </w:r>
      <w:r w:rsidR="0002287D" w:rsidRPr="005A791D">
        <w:t xml:space="preserve"> are expected to be filled </w:t>
      </w:r>
      <w:r w:rsidR="005A791D">
        <w:t xml:space="preserve">in September.  </w:t>
      </w:r>
      <w:r w:rsidR="009248E8">
        <w:t>I</w:t>
      </w:r>
      <w:r w:rsidR="009248E8" w:rsidRPr="005A791D">
        <w:t>n the planning team</w:t>
      </w:r>
      <w:r w:rsidR="009248E8">
        <w:t xml:space="preserve"> there are 3 </w:t>
      </w:r>
      <w:r w:rsidR="009248E8" w:rsidRPr="005A791D">
        <w:t xml:space="preserve">vacancies </w:t>
      </w:r>
      <w:r w:rsidR="009248E8">
        <w:t>due to a delay in implementing a restructure.  5 posts have now been filled via internal recruitment with another to be considered.  The remaining vacancies will be then be recruited from the wider organisation or externally.</w:t>
      </w:r>
    </w:p>
    <w:p w14:paraId="13701F94" w14:textId="77777777" w:rsidR="00BA34E4" w:rsidRDefault="006B7C24" w:rsidP="00582F03">
      <w:pPr>
        <w:pStyle w:val="ListParagraph"/>
        <w:numPr>
          <w:ilvl w:val="0"/>
          <w:numId w:val="8"/>
        </w:numPr>
        <w:ind w:left="1240"/>
      </w:pPr>
      <w:r>
        <w:t xml:space="preserve">Finance </w:t>
      </w:r>
      <w:r w:rsidR="00BA34E4">
        <w:t>&amp;</w:t>
      </w:r>
      <w:r>
        <w:t xml:space="preserve"> A</w:t>
      </w:r>
      <w:r w:rsidRPr="00706E7B">
        <w:t>ssurance</w:t>
      </w:r>
      <w:r w:rsidR="00BA34E4">
        <w:t xml:space="preserve"> </w:t>
      </w:r>
      <w:r w:rsidR="008A38DF">
        <w:t xml:space="preserve">(F &amp; A) </w:t>
      </w:r>
      <w:r w:rsidR="00BA34E4">
        <w:t>and</w:t>
      </w:r>
      <w:r>
        <w:t xml:space="preserve"> </w:t>
      </w:r>
      <w:r w:rsidR="00BA34E4" w:rsidRPr="00706E7B">
        <w:t xml:space="preserve">Legal, HR &amp; Democratic </w:t>
      </w:r>
      <w:r w:rsidR="00BA34E4">
        <w:t>S</w:t>
      </w:r>
      <w:r w:rsidR="00BA34E4" w:rsidRPr="00706E7B">
        <w:t>ervices</w:t>
      </w:r>
      <w:r w:rsidR="008A38DF">
        <w:t xml:space="preserve"> (LHR &amp; DS)</w:t>
      </w:r>
      <w:r w:rsidR="00BA34E4" w:rsidRPr="00706E7B">
        <w:t xml:space="preserve"> </w:t>
      </w:r>
      <w:r>
        <w:t xml:space="preserve">– </w:t>
      </w:r>
      <w:r w:rsidRPr="00706E7B">
        <w:t>Delays in recruitment to the approved</w:t>
      </w:r>
      <w:r>
        <w:t xml:space="preserve"> shared senior management posts have</w:t>
      </w:r>
      <w:r w:rsidRPr="00706E7B">
        <w:t xml:space="preserve"> resulted in</w:t>
      </w:r>
      <w:r>
        <w:t xml:space="preserve"> actual underspends, and lar</w:t>
      </w:r>
      <w:r w:rsidR="008A38DF">
        <w:t>ger forecasted underspends.  The</w:t>
      </w:r>
      <w:r>
        <w:t>s</w:t>
      </w:r>
      <w:r w:rsidR="008A38DF">
        <w:t>e</w:t>
      </w:r>
      <w:r>
        <w:t xml:space="preserve"> </w:t>
      </w:r>
      <w:r w:rsidR="008A38DF">
        <w:t>are</w:t>
      </w:r>
      <w:r>
        <w:t xml:space="preserve"> offset by extra costs relating to temporary staffing arrangements and honoraria</w:t>
      </w:r>
      <w:r w:rsidR="008A38DF">
        <w:t>.</w:t>
      </w:r>
      <w:r>
        <w:t xml:space="preserve"> </w:t>
      </w:r>
      <w:r w:rsidR="008A38DF">
        <w:t xml:space="preserve"> The overall staffing </w:t>
      </w:r>
      <w:r w:rsidRPr="00706E7B">
        <w:t>forecast</w:t>
      </w:r>
      <w:r w:rsidR="008A38DF">
        <w:t>s are</w:t>
      </w:r>
      <w:r w:rsidR="00BA34E4">
        <w:t xml:space="preserve"> a net saving of £29,000 </w:t>
      </w:r>
      <w:r w:rsidR="008A38DF">
        <w:t xml:space="preserve">in F &amp; A </w:t>
      </w:r>
      <w:r w:rsidR="00BA34E4">
        <w:t xml:space="preserve">and a </w:t>
      </w:r>
      <w:r w:rsidR="00BA34E4" w:rsidRPr="00B53796">
        <w:t>net cost of</w:t>
      </w:r>
      <w:r w:rsidR="00BA34E4">
        <w:t xml:space="preserve"> £39,000 </w:t>
      </w:r>
      <w:r w:rsidR="008A38DF">
        <w:t>in LHR &amp; DS</w:t>
      </w:r>
      <w:r w:rsidR="00BA34E4">
        <w:t>.</w:t>
      </w:r>
    </w:p>
    <w:p w14:paraId="13701F95" w14:textId="77777777" w:rsidR="00706E7B" w:rsidRPr="00A57A2C" w:rsidRDefault="00BA34E4" w:rsidP="00582F03">
      <w:pPr>
        <w:pStyle w:val="ListParagraph"/>
        <w:numPr>
          <w:ilvl w:val="0"/>
          <w:numId w:val="8"/>
        </w:numPr>
        <w:ind w:left="1240"/>
      </w:pPr>
      <w:r w:rsidRPr="00706E7B">
        <w:t xml:space="preserve">Legal, HR &amp; Democratic </w:t>
      </w:r>
      <w:r>
        <w:t>S</w:t>
      </w:r>
      <w:r w:rsidRPr="00706E7B">
        <w:t xml:space="preserve">ervices </w:t>
      </w:r>
      <w:r>
        <w:t xml:space="preserve">only – </w:t>
      </w:r>
      <w:r w:rsidR="00D97C70">
        <w:t>In addition</w:t>
      </w:r>
      <w:r>
        <w:t xml:space="preserve"> to the previous point,</w:t>
      </w:r>
      <w:r w:rsidR="00D97C70">
        <w:t xml:space="preserve"> two senior management posts in the </w:t>
      </w:r>
      <w:r>
        <w:t xml:space="preserve">directorate have been vacant all year, with </w:t>
      </w:r>
      <w:r w:rsidR="0032189D">
        <w:t xml:space="preserve">a </w:t>
      </w:r>
      <w:r w:rsidR="00D97C70" w:rsidRPr="00A57A2C">
        <w:t xml:space="preserve">current </w:t>
      </w:r>
      <w:r>
        <w:t xml:space="preserve">cumulative net </w:t>
      </w:r>
      <w:r w:rsidR="00D97C70" w:rsidRPr="00A57A2C">
        <w:t xml:space="preserve">forecast </w:t>
      </w:r>
      <w:r w:rsidR="00D97C70" w:rsidRPr="00BA34E4">
        <w:t xml:space="preserve">saving </w:t>
      </w:r>
      <w:r w:rsidRPr="00BA34E4">
        <w:t xml:space="preserve">of </w:t>
      </w:r>
      <w:r w:rsidR="00D97C70" w:rsidRPr="00BA34E4">
        <w:t>£</w:t>
      </w:r>
      <w:r w:rsidRPr="00BA34E4">
        <w:t>132</w:t>
      </w:r>
      <w:r w:rsidR="00D97C70" w:rsidRPr="00BA34E4">
        <w:t>,000.</w:t>
      </w:r>
      <w:r w:rsidR="00B53796">
        <w:t xml:space="preserve">  There are some minor variances totalling £17,000 that take the overall staffing forecast underspend to £110,000. (£132k plus £17k less £39k equals £110k.)</w:t>
      </w:r>
    </w:p>
    <w:p w14:paraId="13701F96" w14:textId="77777777" w:rsidR="0026059B" w:rsidRPr="00A57A2C" w:rsidRDefault="005864F4" w:rsidP="00582F03">
      <w:pPr>
        <w:pStyle w:val="ListParagraph"/>
        <w:numPr>
          <w:ilvl w:val="0"/>
          <w:numId w:val="8"/>
        </w:numPr>
        <w:ind w:left="1240"/>
      </w:pPr>
      <w:r w:rsidRPr="00A57444">
        <w:t xml:space="preserve">Customer </w:t>
      </w:r>
      <w:r>
        <w:t>Experience &amp; Operations</w:t>
      </w:r>
      <w:r w:rsidRPr="00A57444">
        <w:t xml:space="preserve"> </w:t>
      </w:r>
      <w:r>
        <w:t xml:space="preserve">– </w:t>
      </w:r>
      <w:r w:rsidR="00A57A2C" w:rsidRPr="00A57A2C">
        <w:t>The forecast savings relate to</w:t>
      </w:r>
      <w:r w:rsidR="00A57A2C">
        <w:t>;</w:t>
      </w:r>
      <w:r w:rsidR="00C72710">
        <w:t xml:space="preserve"> Gateway £43,000 due to </w:t>
      </w:r>
      <w:r w:rsidR="003846A2">
        <w:t xml:space="preserve">staff turnover and </w:t>
      </w:r>
      <w:r w:rsidR="00A57A2C">
        <w:t>maternity leave,</w:t>
      </w:r>
      <w:r w:rsidR="00C72710">
        <w:t xml:space="preserve"> Revenues and Benefits £22,000 due to </w:t>
      </w:r>
      <w:r w:rsidR="00A57A2C">
        <w:t>reduced hours</w:t>
      </w:r>
      <w:r w:rsidR="00C72710">
        <w:t xml:space="preserve"> of some staff and ICT £39,000 due to delays in filling vacancies</w:t>
      </w:r>
      <w:r w:rsidR="00A57A2C">
        <w:t>.</w:t>
      </w:r>
    </w:p>
    <w:p w14:paraId="13701F97" w14:textId="77777777" w:rsidR="00EE76BA" w:rsidRPr="003B6DBF" w:rsidRDefault="005864F4" w:rsidP="00582F03">
      <w:pPr>
        <w:pStyle w:val="ListParagraph"/>
        <w:ind w:left="955"/>
      </w:pPr>
      <w:r>
        <w:t>I</w:t>
      </w:r>
      <w:r w:rsidR="00EB655A" w:rsidRPr="00EE76BA">
        <w:t xml:space="preserve">n calculating the current budget forecasts, assumptions have been made in relation to the recruitment to </w:t>
      </w:r>
      <w:r w:rsidR="00C56010" w:rsidRPr="00EE76BA">
        <w:t xml:space="preserve">vacant </w:t>
      </w:r>
      <w:r w:rsidR="00EB655A" w:rsidRPr="00EE76BA">
        <w:t xml:space="preserve">posts </w:t>
      </w:r>
      <w:r w:rsidR="00C56010" w:rsidRPr="00EE76BA">
        <w:t>and the likely timing of new appointments</w:t>
      </w:r>
      <w:r w:rsidR="00EB655A" w:rsidRPr="00EE76BA">
        <w:t>.</w:t>
      </w:r>
      <w:r w:rsidR="000731A9">
        <w:t xml:space="preserve"> </w:t>
      </w:r>
      <w:r w:rsidR="003B6DBF">
        <w:t>For example, t</w:t>
      </w:r>
      <w:r w:rsidR="000731A9" w:rsidRPr="003B6DBF">
        <w:t>h</w:t>
      </w:r>
      <w:r w:rsidR="003B6DBF" w:rsidRPr="003B6DBF">
        <w:t>ere are uncertainties in relation to the shared services agenda and therefore it is difficult to forecast accurately at this stage in the year for the sh</w:t>
      </w:r>
      <w:r w:rsidR="000C150D" w:rsidRPr="003B6DBF">
        <w:t>ared senior management posts</w:t>
      </w:r>
      <w:r w:rsidR="003B6DBF" w:rsidRPr="003B6DBF">
        <w:t xml:space="preserve">. </w:t>
      </w:r>
      <w:r w:rsidR="000C150D" w:rsidRPr="003B6DBF">
        <w:t xml:space="preserve">   </w:t>
      </w:r>
    </w:p>
    <w:p w14:paraId="13701F98" w14:textId="77777777" w:rsidR="00706E7B" w:rsidRDefault="00706E7B" w:rsidP="00582F03">
      <w:pPr>
        <w:pStyle w:val="ListParagraph"/>
        <w:ind w:left="955"/>
      </w:pPr>
      <w:r w:rsidRPr="00EE76BA">
        <w:t xml:space="preserve">A resource review is currently being undertaken </w:t>
      </w:r>
      <w:r w:rsidR="00154379" w:rsidRPr="00EE76BA">
        <w:t xml:space="preserve">by the Leadership team to identify resource gaps and recruitment needs. </w:t>
      </w:r>
      <w:r w:rsidR="00D97C70" w:rsidRPr="00EE76BA">
        <w:t>The forecasts will be updated once this exercise is complete.</w:t>
      </w:r>
    </w:p>
    <w:p w14:paraId="13701F99" w14:textId="77777777" w:rsidR="00812150" w:rsidRDefault="00812150" w:rsidP="00582F03">
      <w:pPr>
        <w:pStyle w:val="Heading2"/>
        <w:ind w:left="601"/>
      </w:pPr>
    </w:p>
    <w:p w14:paraId="13701F9A" w14:textId="77777777" w:rsidR="00F1759C" w:rsidRDefault="00F1759C" w:rsidP="00582F03">
      <w:pPr>
        <w:pStyle w:val="Heading2"/>
        <w:ind w:left="601"/>
      </w:pPr>
      <w:r>
        <w:t>Other Cost variations</w:t>
      </w:r>
    </w:p>
    <w:p w14:paraId="13701F9B" w14:textId="77777777" w:rsidR="00F1759C" w:rsidRPr="00F1759C" w:rsidRDefault="00F1759C" w:rsidP="00582F03">
      <w:pPr>
        <w:pStyle w:val="ListParagraph"/>
        <w:ind w:left="955"/>
      </w:pPr>
      <w:r>
        <w:t xml:space="preserve">The net cost of £108,000 in relation to the waste contract is a result of </w:t>
      </w:r>
      <w:r w:rsidRPr="00F1759C">
        <w:t xml:space="preserve">increases in relation to pay inflation £147,000, offset by the recovery of replacement bin costs </w:t>
      </w:r>
      <w:r w:rsidR="00812150">
        <w:t>£39,</w:t>
      </w:r>
      <w:r w:rsidRPr="00F1759C">
        <w:t>000</w:t>
      </w:r>
      <w:r>
        <w:t>. These costs include backdated adjustments for previous years. The</w:t>
      </w:r>
      <w:r w:rsidR="00812150">
        <w:t xml:space="preserve"> pay </w:t>
      </w:r>
      <w:r>
        <w:t>adjustments reflect the impact of the NJC pay awards</w:t>
      </w:r>
      <w:r w:rsidR="00812150">
        <w:t xml:space="preserve"> on individual pay points</w:t>
      </w:r>
      <w:r>
        <w:t xml:space="preserve">, which for the FCC employees </w:t>
      </w:r>
      <w:r w:rsidR="00812150">
        <w:t xml:space="preserve">works out </w:t>
      </w:r>
      <w:r>
        <w:t xml:space="preserve">higher than </w:t>
      </w:r>
      <w:r w:rsidR="00812150">
        <w:t xml:space="preserve">the </w:t>
      </w:r>
      <w:r>
        <w:t xml:space="preserve">average </w:t>
      </w:r>
      <w:r w:rsidR="00812150">
        <w:t xml:space="preserve">pay increase previously applied. The waste contract includes an annual </w:t>
      </w:r>
      <w:r w:rsidR="00812150">
        <w:lastRenderedPageBreak/>
        <w:t xml:space="preserve">provision for the cost of bin replacements. As the actual cost of bin replacements has been less than this provision, the overpayment has been recovered from FCC.    </w:t>
      </w:r>
      <w:r>
        <w:t xml:space="preserve">   </w:t>
      </w:r>
    </w:p>
    <w:p w14:paraId="13701F9C" w14:textId="77777777" w:rsidR="00F1759C" w:rsidRPr="00EE76BA" w:rsidRDefault="00F1759C" w:rsidP="00582F03">
      <w:pPr>
        <w:ind w:left="595"/>
      </w:pPr>
    </w:p>
    <w:p w14:paraId="13701F9D" w14:textId="77777777" w:rsidR="009F68B5" w:rsidRPr="00746F72" w:rsidRDefault="009F68B5" w:rsidP="00582F03">
      <w:pPr>
        <w:pStyle w:val="Heading2"/>
        <w:ind w:left="601"/>
      </w:pPr>
      <w:r w:rsidRPr="00746F72">
        <w:t>Business Rates</w:t>
      </w:r>
      <w:r w:rsidR="005D7544" w:rsidRPr="00746F72">
        <w:t xml:space="preserve"> </w:t>
      </w:r>
    </w:p>
    <w:p w14:paraId="13701F9E" w14:textId="77777777" w:rsidR="00122201" w:rsidRDefault="004F128A" w:rsidP="00582F03">
      <w:pPr>
        <w:pStyle w:val="ListParagraph"/>
        <w:ind w:left="955"/>
      </w:pPr>
      <w:r w:rsidRPr="00746F72">
        <w:t xml:space="preserve">The business rates </w:t>
      </w:r>
      <w:r w:rsidR="00EE618A" w:rsidRPr="00746F72">
        <w:t>budget forecasts</w:t>
      </w:r>
      <w:r w:rsidR="00746F72" w:rsidRPr="00746F72">
        <w:t xml:space="preserve"> for 2019/20 </w:t>
      </w:r>
      <w:r w:rsidR="00EE618A" w:rsidRPr="00746F72">
        <w:t>have been revised to</w:t>
      </w:r>
      <w:r w:rsidR="00746F72" w:rsidRPr="00746F72">
        <w:t xml:space="preserve"> reflect the latest position. </w:t>
      </w:r>
      <w:r w:rsidR="00746F72">
        <w:t xml:space="preserve">Some elements of the business rates budget </w:t>
      </w:r>
      <w:r w:rsidR="00122201">
        <w:t xml:space="preserve">are fixed and therefore can be forecast with certainty; conversely other elements </w:t>
      </w:r>
      <w:r w:rsidR="00746F72">
        <w:t>(such as Government s31 grant) are variable and can produce in-year variations</w:t>
      </w:r>
      <w:r w:rsidR="00122201">
        <w:t xml:space="preserve">. The purpose of the Business Rates Retention Reserve is to mitigate the impact of </w:t>
      </w:r>
      <w:r w:rsidR="006960C1">
        <w:t xml:space="preserve">any </w:t>
      </w:r>
      <w:r w:rsidR="000072D3">
        <w:t xml:space="preserve">in-year </w:t>
      </w:r>
      <w:r w:rsidR="00122201">
        <w:t>fluctuations</w:t>
      </w:r>
      <w:r w:rsidR="006960C1">
        <w:t xml:space="preserve">. </w:t>
      </w:r>
      <w:r w:rsidR="000072D3">
        <w:t xml:space="preserve">   </w:t>
      </w:r>
    </w:p>
    <w:p w14:paraId="13701F9F" w14:textId="77777777" w:rsidR="00122201" w:rsidRDefault="00122201" w:rsidP="00582F03">
      <w:pPr>
        <w:pStyle w:val="ListParagraph"/>
        <w:ind w:left="955"/>
      </w:pPr>
      <w:r>
        <w:t>The current forecast is a net increase in income of £280,000. A breakdown of this forecast against the approved budget is set out in the table below. All net business rates collected in respect of the Lancashire Enterprise Zone at Samlesbury is payable to the Lanc</w:t>
      </w:r>
      <w:r w:rsidR="00B53796">
        <w:t>ashire Enterprise Partnership.</w:t>
      </w:r>
    </w:p>
    <w:p w14:paraId="13701FA0" w14:textId="77777777" w:rsidR="00812150" w:rsidRDefault="00812150" w:rsidP="00582F03">
      <w:pPr>
        <w:ind w:left="595"/>
      </w:pPr>
    </w:p>
    <w:tbl>
      <w:tblPr>
        <w:tblStyle w:val="TableGrid"/>
        <w:tblW w:w="8920" w:type="dxa"/>
        <w:tblInd w:w="601" w:type="dxa"/>
        <w:tblLayout w:type="fixed"/>
        <w:tblLook w:val="04A0" w:firstRow="1" w:lastRow="0" w:firstColumn="1" w:lastColumn="0" w:noHBand="0" w:noVBand="1"/>
      </w:tblPr>
      <w:tblGrid>
        <w:gridCol w:w="4243"/>
        <w:gridCol w:w="1559"/>
        <w:gridCol w:w="1559"/>
        <w:gridCol w:w="1559"/>
      </w:tblGrid>
      <w:tr w:rsidR="00450CF4" w:rsidRPr="00450CF4" w14:paraId="13701FAA" w14:textId="77777777" w:rsidTr="00582F03">
        <w:trPr>
          <w:trHeight w:val="340"/>
        </w:trPr>
        <w:tc>
          <w:tcPr>
            <w:tcW w:w="4243" w:type="dxa"/>
            <w:tcBorders>
              <w:bottom w:val="single" w:sz="4" w:space="0" w:color="auto"/>
            </w:tcBorders>
            <w:shd w:val="clear" w:color="auto" w:fill="D9D9D9" w:themeFill="background1" w:themeFillShade="D9"/>
            <w:vAlign w:val="center"/>
          </w:tcPr>
          <w:p w14:paraId="13701FA1" w14:textId="77777777" w:rsidR="00450CF4" w:rsidRPr="00450CF4" w:rsidRDefault="00450CF4" w:rsidP="002C2140">
            <w:pPr>
              <w:rPr>
                <w:b/>
              </w:rPr>
            </w:pPr>
            <w:r w:rsidRPr="00450CF4">
              <w:rPr>
                <w:b/>
              </w:rPr>
              <w:t>Business Rates Retention Budget</w:t>
            </w:r>
          </w:p>
        </w:tc>
        <w:tc>
          <w:tcPr>
            <w:tcW w:w="1559" w:type="dxa"/>
            <w:tcBorders>
              <w:bottom w:val="single" w:sz="4" w:space="0" w:color="auto"/>
            </w:tcBorders>
            <w:shd w:val="clear" w:color="auto" w:fill="D9D9D9" w:themeFill="background1" w:themeFillShade="D9"/>
            <w:vAlign w:val="center"/>
          </w:tcPr>
          <w:p w14:paraId="13701FA2" w14:textId="77777777" w:rsidR="00450CF4" w:rsidRPr="00450CF4" w:rsidRDefault="00450CF4" w:rsidP="002C2140">
            <w:pPr>
              <w:jc w:val="center"/>
              <w:rPr>
                <w:b/>
              </w:rPr>
            </w:pPr>
            <w:r w:rsidRPr="00450CF4">
              <w:rPr>
                <w:b/>
              </w:rPr>
              <w:t>Budget</w:t>
            </w:r>
          </w:p>
          <w:p w14:paraId="13701FA3" w14:textId="77777777" w:rsidR="00450CF4" w:rsidRPr="00450CF4" w:rsidRDefault="00450CF4" w:rsidP="002C2140">
            <w:pPr>
              <w:jc w:val="center"/>
              <w:rPr>
                <w:b/>
              </w:rPr>
            </w:pPr>
            <w:r w:rsidRPr="00450CF4">
              <w:rPr>
                <w:b/>
              </w:rPr>
              <w:t>£’000</w:t>
            </w:r>
          </w:p>
        </w:tc>
        <w:tc>
          <w:tcPr>
            <w:tcW w:w="1559" w:type="dxa"/>
            <w:tcBorders>
              <w:bottom w:val="single" w:sz="4" w:space="0" w:color="auto"/>
            </w:tcBorders>
            <w:shd w:val="clear" w:color="auto" w:fill="D9D9D9" w:themeFill="background1" w:themeFillShade="D9"/>
            <w:vAlign w:val="center"/>
          </w:tcPr>
          <w:p w14:paraId="13701FA4" w14:textId="77777777" w:rsidR="00450CF4" w:rsidRPr="00450CF4" w:rsidRDefault="00450CF4" w:rsidP="002C2140">
            <w:pPr>
              <w:jc w:val="center"/>
              <w:rPr>
                <w:b/>
              </w:rPr>
            </w:pPr>
            <w:r w:rsidRPr="00450CF4">
              <w:rPr>
                <w:b/>
              </w:rPr>
              <w:t>Forecast</w:t>
            </w:r>
          </w:p>
          <w:p w14:paraId="13701FA5" w14:textId="77777777" w:rsidR="00450CF4" w:rsidRPr="00450CF4" w:rsidRDefault="00450CF4" w:rsidP="002C2140">
            <w:pPr>
              <w:jc w:val="center"/>
              <w:rPr>
                <w:b/>
              </w:rPr>
            </w:pPr>
            <w:r w:rsidRPr="00450CF4">
              <w:rPr>
                <w:b/>
              </w:rPr>
              <w:t>Outturn</w:t>
            </w:r>
          </w:p>
          <w:p w14:paraId="13701FA6" w14:textId="77777777" w:rsidR="00450CF4" w:rsidRPr="00450CF4" w:rsidRDefault="00450CF4" w:rsidP="002C2140">
            <w:pPr>
              <w:jc w:val="center"/>
              <w:rPr>
                <w:b/>
              </w:rPr>
            </w:pPr>
            <w:r w:rsidRPr="00450CF4">
              <w:rPr>
                <w:b/>
              </w:rPr>
              <w:t>£’000</w:t>
            </w:r>
          </w:p>
        </w:tc>
        <w:tc>
          <w:tcPr>
            <w:tcW w:w="1559" w:type="dxa"/>
            <w:tcBorders>
              <w:bottom w:val="single" w:sz="4" w:space="0" w:color="auto"/>
            </w:tcBorders>
            <w:shd w:val="clear" w:color="auto" w:fill="D9D9D9" w:themeFill="background1" w:themeFillShade="D9"/>
            <w:vAlign w:val="center"/>
          </w:tcPr>
          <w:p w14:paraId="13701FA7" w14:textId="77777777" w:rsidR="00450CF4" w:rsidRPr="00450CF4" w:rsidRDefault="00450CF4" w:rsidP="002C2140">
            <w:pPr>
              <w:jc w:val="center"/>
              <w:rPr>
                <w:b/>
              </w:rPr>
            </w:pPr>
            <w:r w:rsidRPr="00450CF4">
              <w:rPr>
                <w:b/>
              </w:rPr>
              <w:t>Forecast</w:t>
            </w:r>
          </w:p>
          <w:p w14:paraId="13701FA8" w14:textId="77777777" w:rsidR="00450CF4" w:rsidRPr="00450CF4" w:rsidRDefault="00450CF4" w:rsidP="002C2140">
            <w:pPr>
              <w:jc w:val="center"/>
              <w:rPr>
                <w:b/>
              </w:rPr>
            </w:pPr>
            <w:r w:rsidRPr="00450CF4">
              <w:rPr>
                <w:b/>
              </w:rPr>
              <w:t>Variance</w:t>
            </w:r>
          </w:p>
          <w:p w14:paraId="13701FA9" w14:textId="77777777" w:rsidR="00450CF4" w:rsidRPr="00450CF4" w:rsidRDefault="00450CF4" w:rsidP="002C2140">
            <w:pPr>
              <w:jc w:val="center"/>
              <w:rPr>
                <w:b/>
              </w:rPr>
            </w:pPr>
            <w:r w:rsidRPr="00450CF4">
              <w:rPr>
                <w:b/>
              </w:rPr>
              <w:t>£’000</w:t>
            </w:r>
          </w:p>
        </w:tc>
      </w:tr>
      <w:tr w:rsidR="00450CF4" w14:paraId="13701FAF" w14:textId="77777777" w:rsidTr="00582F03">
        <w:trPr>
          <w:trHeight w:val="340"/>
        </w:trPr>
        <w:tc>
          <w:tcPr>
            <w:tcW w:w="4243" w:type="dxa"/>
            <w:tcBorders>
              <w:bottom w:val="single" w:sz="4" w:space="0" w:color="BFBFBF" w:themeColor="background1" w:themeShade="BF"/>
              <w:right w:val="single" w:sz="4" w:space="0" w:color="BFBFBF" w:themeColor="background1" w:themeShade="BF"/>
            </w:tcBorders>
            <w:vAlign w:val="center"/>
          </w:tcPr>
          <w:p w14:paraId="13701FAB" w14:textId="77777777" w:rsidR="00450CF4" w:rsidRPr="008409F6" w:rsidRDefault="00450CF4" w:rsidP="002C2140">
            <w:pPr>
              <w:rPr>
                <w:b/>
              </w:rPr>
            </w:pPr>
            <w:r w:rsidRPr="008409F6">
              <w:rPr>
                <w:b/>
              </w:rPr>
              <w:t>Expenditure</w:t>
            </w: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13701FAC" w14:textId="77777777" w:rsidR="00450CF4" w:rsidRDefault="00450CF4" w:rsidP="002C2140"/>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13701FAD" w14:textId="77777777" w:rsidR="00450CF4" w:rsidRDefault="00450CF4" w:rsidP="002C2140"/>
        </w:tc>
        <w:tc>
          <w:tcPr>
            <w:tcW w:w="1559" w:type="dxa"/>
            <w:tcBorders>
              <w:left w:val="single" w:sz="4" w:space="0" w:color="BFBFBF" w:themeColor="background1" w:themeShade="BF"/>
              <w:bottom w:val="single" w:sz="4" w:space="0" w:color="BFBFBF" w:themeColor="background1" w:themeShade="BF"/>
            </w:tcBorders>
            <w:tcMar>
              <w:right w:w="284" w:type="dxa"/>
            </w:tcMar>
            <w:vAlign w:val="center"/>
          </w:tcPr>
          <w:p w14:paraId="13701FAE" w14:textId="77777777" w:rsidR="00450CF4" w:rsidRDefault="00450CF4" w:rsidP="002C2140"/>
        </w:tc>
      </w:tr>
      <w:tr w:rsidR="00450CF4" w14:paraId="13701FB4" w14:textId="77777777" w:rsidTr="00582F03">
        <w:trPr>
          <w:trHeight w:val="340"/>
        </w:trPr>
        <w:tc>
          <w:tcPr>
            <w:tcW w:w="424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701FB0" w14:textId="77777777" w:rsidR="00450CF4" w:rsidRDefault="00450CF4" w:rsidP="002C2140">
            <w:r>
              <w:t>Tariff paid to Pool</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13701FB1" w14:textId="77777777" w:rsidR="00450CF4" w:rsidRDefault="00450CF4" w:rsidP="002C2140">
            <w:pPr>
              <w:jc w:val="right"/>
            </w:pPr>
            <w:r>
              <w:t>15,150</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13701FB2" w14:textId="77777777" w:rsidR="00450CF4" w:rsidRDefault="00450CF4" w:rsidP="002C2140">
            <w:pPr>
              <w:jc w:val="right"/>
            </w:pPr>
            <w:r>
              <w:t>15,150</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right w:w="284" w:type="dxa"/>
            </w:tcMar>
            <w:vAlign w:val="center"/>
          </w:tcPr>
          <w:p w14:paraId="13701FB3" w14:textId="77777777" w:rsidR="00450CF4" w:rsidRDefault="00450CF4" w:rsidP="002C2140">
            <w:pPr>
              <w:jc w:val="right"/>
            </w:pPr>
            <w:r>
              <w:t>0</w:t>
            </w:r>
          </w:p>
        </w:tc>
      </w:tr>
      <w:tr w:rsidR="00450CF4" w14:paraId="13701FB9" w14:textId="77777777" w:rsidTr="00582F03">
        <w:trPr>
          <w:trHeight w:val="340"/>
        </w:trPr>
        <w:tc>
          <w:tcPr>
            <w:tcW w:w="424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701FB5" w14:textId="77777777" w:rsidR="00450CF4" w:rsidRDefault="00450CF4" w:rsidP="002C2140">
            <w:r>
              <w:t>Payment re Enterprise Zone (19/20)</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13701FB6" w14:textId="77777777" w:rsidR="00450CF4" w:rsidRDefault="00450CF4" w:rsidP="002C2140">
            <w:pPr>
              <w:jc w:val="right"/>
            </w:pPr>
            <w:r>
              <w:t>174</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13701FB7" w14:textId="77777777" w:rsidR="00450CF4" w:rsidRDefault="00450CF4" w:rsidP="002C2140">
            <w:pPr>
              <w:jc w:val="right"/>
            </w:pPr>
            <w:r>
              <w:t>174</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right w:w="284" w:type="dxa"/>
            </w:tcMar>
            <w:vAlign w:val="center"/>
          </w:tcPr>
          <w:p w14:paraId="13701FB8" w14:textId="77777777" w:rsidR="00450CF4" w:rsidRDefault="00450CF4" w:rsidP="002C2140">
            <w:pPr>
              <w:jc w:val="right"/>
            </w:pPr>
            <w:r>
              <w:t>0</w:t>
            </w:r>
          </w:p>
        </w:tc>
      </w:tr>
      <w:tr w:rsidR="00450CF4" w14:paraId="13701FBE" w14:textId="77777777" w:rsidTr="00582F03">
        <w:trPr>
          <w:trHeight w:val="340"/>
        </w:trPr>
        <w:tc>
          <w:tcPr>
            <w:tcW w:w="424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701FBA" w14:textId="77777777" w:rsidR="00450CF4" w:rsidRDefault="00450CF4" w:rsidP="002C2140">
            <w:r>
              <w:t>Payments to Lancs Wide Fund</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13701FBB" w14:textId="77777777" w:rsidR="00450CF4" w:rsidRDefault="00450CF4" w:rsidP="002C2140">
            <w:pPr>
              <w:jc w:val="right"/>
            </w:pPr>
            <w:r>
              <w:t>286</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13701FBC" w14:textId="77777777" w:rsidR="00450CF4" w:rsidRDefault="00450CF4" w:rsidP="002C2140">
            <w:pPr>
              <w:jc w:val="right"/>
            </w:pPr>
            <w:r>
              <w:t>244</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right w:w="284" w:type="dxa"/>
            </w:tcMar>
            <w:vAlign w:val="center"/>
          </w:tcPr>
          <w:p w14:paraId="13701FBD" w14:textId="77777777" w:rsidR="00450CF4" w:rsidRDefault="00450CF4" w:rsidP="002C2140">
            <w:pPr>
              <w:jc w:val="right"/>
            </w:pPr>
            <w:r>
              <w:t>(42)</w:t>
            </w:r>
          </w:p>
        </w:tc>
      </w:tr>
      <w:tr w:rsidR="00450CF4" w14:paraId="13701FC3" w14:textId="77777777" w:rsidTr="00582F03">
        <w:trPr>
          <w:trHeight w:val="340"/>
        </w:trPr>
        <w:tc>
          <w:tcPr>
            <w:tcW w:w="424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701FBF" w14:textId="77777777" w:rsidR="00450CF4" w:rsidRDefault="00450CF4" w:rsidP="002C2140">
            <w:r>
              <w:t>Payment to Resilience Fund</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13701FC0" w14:textId="77777777" w:rsidR="00450CF4" w:rsidRDefault="00450CF4" w:rsidP="002C2140">
            <w:pPr>
              <w:jc w:val="right"/>
            </w:pPr>
            <w:r>
              <w:t>57</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13701FC1" w14:textId="77777777" w:rsidR="00450CF4" w:rsidRDefault="00450CF4" w:rsidP="002C2140">
            <w:pPr>
              <w:jc w:val="right"/>
            </w:pPr>
            <w:r>
              <w:t>49</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right w:w="284" w:type="dxa"/>
            </w:tcMar>
            <w:vAlign w:val="center"/>
          </w:tcPr>
          <w:p w14:paraId="13701FC2" w14:textId="77777777" w:rsidR="00450CF4" w:rsidRDefault="00450CF4" w:rsidP="002C2140">
            <w:pPr>
              <w:jc w:val="right"/>
            </w:pPr>
            <w:r>
              <w:t>(8)</w:t>
            </w:r>
          </w:p>
        </w:tc>
      </w:tr>
      <w:tr w:rsidR="00450CF4" w14:paraId="13701FC8" w14:textId="77777777" w:rsidTr="00582F03">
        <w:trPr>
          <w:trHeight w:val="340"/>
        </w:trPr>
        <w:tc>
          <w:tcPr>
            <w:tcW w:w="424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701FC4" w14:textId="77777777" w:rsidR="00450CF4" w:rsidRPr="00AC246A" w:rsidRDefault="00450CF4" w:rsidP="002C2140">
            <w:pPr>
              <w:rPr>
                <w:b/>
              </w:rPr>
            </w:pPr>
            <w:r w:rsidRPr="00AC246A">
              <w:rPr>
                <w:b/>
              </w:rPr>
              <w:t>Income</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13701FC5" w14:textId="77777777" w:rsidR="00450CF4" w:rsidRDefault="00450CF4" w:rsidP="002C2140">
            <w:pPr>
              <w:jc w:val="right"/>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13701FC6" w14:textId="77777777" w:rsidR="00450CF4" w:rsidRDefault="00450CF4" w:rsidP="002C2140">
            <w:pPr>
              <w:jc w:val="right"/>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right w:w="284" w:type="dxa"/>
            </w:tcMar>
            <w:vAlign w:val="center"/>
          </w:tcPr>
          <w:p w14:paraId="13701FC7" w14:textId="77777777" w:rsidR="00450CF4" w:rsidRDefault="00450CF4" w:rsidP="002C2140">
            <w:pPr>
              <w:jc w:val="right"/>
            </w:pPr>
          </w:p>
        </w:tc>
      </w:tr>
      <w:tr w:rsidR="00450CF4" w14:paraId="13701FCD" w14:textId="77777777" w:rsidTr="00582F03">
        <w:trPr>
          <w:trHeight w:val="340"/>
        </w:trPr>
        <w:tc>
          <w:tcPr>
            <w:tcW w:w="424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701FC9" w14:textId="77777777" w:rsidR="00450CF4" w:rsidRPr="00D44026" w:rsidRDefault="00450CF4" w:rsidP="002C2140">
            <w:r w:rsidRPr="00D44026">
              <w:t>Local share of business rates</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13701FCA" w14:textId="77777777" w:rsidR="00450CF4" w:rsidRDefault="00450CF4" w:rsidP="002C2140">
            <w:pPr>
              <w:jc w:val="right"/>
            </w:pPr>
            <w:r>
              <w:t>(19,220)</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13701FCB" w14:textId="77777777" w:rsidR="00450CF4" w:rsidRDefault="00450CF4" w:rsidP="002C2140">
            <w:pPr>
              <w:jc w:val="right"/>
            </w:pPr>
            <w:r>
              <w:t>(19,095)</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right w:w="284" w:type="dxa"/>
            </w:tcMar>
            <w:vAlign w:val="center"/>
          </w:tcPr>
          <w:p w14:paraId="13701FCC" w14:textId="77777777" w:rsidR="00450CF4" w:rsidRDefault="00450CF4" w:rsidP="002C2140">
            <w:pPr>
              <w:jc w:val="right"/>
            </w:pPr>
            <w:r>
              <w:t>125</w:t>
            </w:r>
          </w:p>
        </w:tc>
      </w:tr>
      <w:tr w:rsidR="00450CF4" w14:paraId="13701FD2" w14:textId="77777777" w:rsidTr="00582F03">
        <w:trPr>
          <w:trHeight w:val="340"/>
        </w:trPr>
        <w:tc>
          <w:tcPr>
            <w:tcW w:w="424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701FCE" w14:textId="77777777" w:rsidR="00450CF4" w:rsidRDefault="00450CF4" w:rsidP="002C2140">
            <w:r>
              <w:t>Share of surplus/deficit</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13701FCF" w14:textId="77777777" w:rsidR="00450CF4" w:rsidRDefault="00450CF4" w:rsidP="002C2140">
            <w:pPr>
              <w:jc w:val="right"/>
            </w:pPr>
            <w:r>
              <w:t>(185)</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13701FD0" w14:textId="77777777" w:rsidR="00450CF4" w:rsidRDefault="00450CF4" w:rsidP="002C2140">
            <w:pPr>
              <w:jc w:val="right"/>
            </w:pPr>
            <w:r>
              <w:t>(185)</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right w:w="284" w:type="dxa"/>
            </w:tcMar>
            <w:vAlign w:val="center"/>
          </w:tcPr>
          <w:p w14:paraId="13701FD1" w14:textId="77777777" w:rsidR="00450CF4" w:rsidRDefault="00450CF4" w:rsidP="002C2140">
            <w:pPr>
              <w:jc w:val="right"/>
            </w:pPr>
            <w:r>
              <w:t>0</w:t>
            </w:r>
          </w:p>
        </w:tc>
      </w:tr>
      <w:tr w:rsidR="00450CF4" w14:paraId="13701FD7" w14:textId="77777777" w:rsidTr="00582F03">
        <w:trPr>
          <w:trHeight w:val="340"/>
        </w:trPr>
        <w:tc>
          <w:tcPr>
            <w:tcW w:w="4243"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701FD3" w14:textId="77777777" w:rsidR="00450CF4" w:rsidRDefault="00450CF4" w:rsidP="002C2140">
            <w:r>
              <w:t xml:space="preserve">Designated Area – Enterprise Zone </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13701FD4" w14:textId="77777777" w:rsidR="00450CF4" w:rsidRDefault="00450CF4" w:rsidP="002C2140">
            <w:pPr>
              <w:jc w:val="right"/>
            </w:pPr>
            <w:r>
              <w:t>(174)</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right w:w="284" w:type="dxa"/>
            </w:tcMar>
            <w:vAlign w:val="center"/>
          </w:tcPr>
          <w:p w14:paraId="13701FD5" w14:textId="77777777" w:rsidR="00450CF4" w:rsidRDefault="00450CF4" w:rsidP="002C2140">
            <w:pPr>
              <w:jc w:val="right"/>
            </w:pPr>
            <w:r>
              <w:t>(174)</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tcBorders>
            <w:tcMar>
              <w:right w:w="284" w:type="dxa"/>
            </w:tcMar>
            <w:vAlign w:val="center"/>
          </w:tcPr>
          <w:p w14:paraId="13701FD6" w14:textId="77777777" w:rsidR="00450CF4" w:rsidRDefault="00450CF4" w:rsidP="002C2140">
            <w:pPr>
              <w:jc w:val="right"/>
            </w:pPr>
            <w:r>
              <w:t>0</w:t>
            </w:r>
          </w:p>
        </w:tc>
      </w:tr>
      <w:tr w:rsidR="00450CF4" w14:paraId="13701FDC" w14:textId="77777777" w:rsidTr="00582F03">
        <w:trPr>
          <w:trHeight w:val="340"/>
        </w:trPr>
        <w:tc>
          <w:tcPr>
            <w:tcW w:w="4243" w:type="dxa"/>
            <w:tcBorders>
              <w:top w:val="single" w:sz="4" w:space="0" w:color="BFBFBF" w:themeColor="background1" w:themeShade="BF"/>
              <w:bottom w:val="single" w:sz="4" w:space="0" w:color="auto"/>
              <w:right w:val="single" w:sz="4" w:space="0" w:color="BFBFBF" w:themeColor="background1" w:themeShade="BF"/>
            </w:tcBorders>
            <w:vAlign w:val="center"/>
          </w:tcPr>
          <w:p w14:paraId="13701FD8" w14:textId="77777777" w:rsidR="00450CF4" w:rsidRDefault="00450CF4" w:rsidP="002C2140">
            <w:r>
              <w:t>Renewable energy rates income</w:t>
            </w: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Mar>
              <w:right w:w="284" w:type="dxa"/>
            </w:tcMar>
            <w:vAlign w:val="center"/>
          </w:tcPr>
          <w:p w14:paraId="13701FD9" w14:textId="77777777" w:rsidR="00450CF4" w:rsidRDefault="00450CF4" w:rsidP="002C2140">
            <w:pPr>
              <w:jc w:val="right"/>
            </w:pPr>
            <w:r>
              <w:t>(39)</w:t>
            </w: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Mar>
              <w:right w:w="284" w:type="dxa"/>
            </w:tcMar>
            <w:vAlign w:val="center"/>
          </w:tcPr>
          <w:p w14:paraId="13701FDA" w14:textId="77777777" w:rsidR="00450CF4" w:rsidRDefault="00450CF4" w:rsidP="002C2140">
            <w:pPr>
              <w:jc w:val="right"/>
            </w:pPr>
            <w:r>
              <w:t>(102)</w:t>
            </w:r>
          </w:p>
        </w:tc>
        <w:tc>
          <w:tcPr>
            <w:tcW w:w="1559" w:type="dxa"/>
            <w:tcBorders>
              <w:top w:val="single" w:sz="4" w:space="0" w:color="BFBFBF" w:themeColor="background1" w:themeShade="BF"/>
              <w:left w:val="single" w:sz="4" w:space="0" w:color="BFBFBF" w:themeColor="background1" w:themeShade="BF"/>
              <w:bottom w:val="single" w:sz="4" w:space="0" w:color="auto"/>
            </w:tcBorders>
            <w:tcMar>
              <w:right w:w="284" w:type="dxa"/>
            </w:tcMar>
            <w:vAlign w:val="center"/>
          </w:tcPr>
          <w:p w14:paraId="13701FDB" w14:textId="77777777" w:rsidR="00450CF4" w:rsidRDefault="00450CF4" w:rsidP="002C2140">
            <w:pPr>
              <w:jc w:val="right"/>
            </w:pPr>
            <w:r>
              <w:t>(63)</w:t>
            </w:r>
          </w:p>
        </w:tc>
      </w:tr>
      <w:tr w:rsidR="00450CF4" w:rsidRPr="002A0826" w14:paraId="13701FE1" w14:textId="77777777" w:rsidTr="00582F03">
        <w:trPr>
          <w:trHeight w:val="340"/>
        </w:trPr>
        <w:tc>
          <w:tcPr>
            <w:tcW w:w="4243" w:type="dxa"/>
            <w:tcBorders>
              <w:right w:val="single" w:sz="4" w:space="0" w:color="BFBFBF" w:themeColor="background1" w:themeShade="BF"/>
            </w:tcBorders>
            <w:vAlign w:val="center"/>
          </w:tcPr>
          <w:p w14:paraId="13701FDD" w14:textId="77777777" w:rsidR="00450CF4" w:rsidRPr="002A0826" w:rsidRDefault="00450CF4" w:rsidP="002C2140">
            <w:pPr>
              <w:rPr>
                <w:b/>
              </w:rPr>
            </w:pPr>
            <w:r>
              <w:rPr>
                <w:b/>
              </w:rPr>
              <w:t>Sub-</w:t>
            </w:r>
            <w:r w:rsidRPr="002A0826">
              <w:rPr>
                <w:b/>
              </w:rPr>
              <w:t>Total</w:t>
            </w:r>
          </w:p>
        </w:tc>
        <w:tc>
          <w:tcPr>
            <w:tcW w:w="1559" w:type="dxa"/>
            <w:tcBorders>
              <w:left w:val="single" w:sz="4" w:space="0" w:color="BFBFBF" w:themeColor="background1" w:themeShade="BF"/>
              <w:right w:val="single" w:sz="4" w:space="0" w:color="BFBFBF" w:themeColor="background1" w:themeShade="BF"/>
            </w:tcBorders>
            <w:tcMar>
              <w:right w:w="284" w:type="dxa"/>
            </w:tcMar>
            <w:vAlign w:val="center"/>
          </w:tcPr>
          <w:p w14:paraId="13701FDE" w14:textId="77777777" w:rsidR="00450CF4" w:rsidRPr="002A0826" w:rsidRDefault="00450CF4" w:rsidP="002C2140">
            <w:pPr>
              <w:jc w:val="right"/>
              <w:rPr>
                <w:b/>
              </w:rPr>
            </w:pPr>
            <w:r>
              <w:rPr>
                <w:b/>
              </w:rPr>
              <w:t>(3,950</w:t>
            </w:r>
            <w:r w:rsidRPr="002A0826">
              <w:rPr>
                <w:b/>
              </w:rPr>
              <w:t>)</w:t>
            </w:r>
          </w:p>
        </w:tc>
        <w:tc>
          <w:tcPr>
            <w:tcW w:w="1559" w:type="dxa"/>
            <w:tcBorders>
              <w:left w:val="single" w:sz="4" w:space="0" w:color="BFBFBF" w:themeColor="background1" w:themeShade="BF"/>
              <w:right w:val="single" w:sz="4" w:space="0" w:color="BFBFBF" w:themeColor="background1" w:themeShade="BF"/>
            </w:tcBorders>
            <w:tcMar>
              <w:right w:w="284" w:type="dxa"/>
            </w:tcMar>
            <w:vAlign w:val="center"/>
          </w:tcPr>
          <w:p w14:paraId="13701FDF" w14:textId="77777777" w:rsidR="00450CF4" w:rsidRPr="002A0826" w:rsidRDefault="00450CF4" w:rsidP="002C2140">
            <w:pPr>
              <w:jc w:val="right"/>
              <w:rPr>
                <w:b/>
              </w:rPr>
            </w:pPr>
            <w:r>
              <w:rPr>
                <w:b/>
              </w:rPr>
              <w:t>(3,939)</w:t>
            </w:r>
          </w:p>
        </w:tc>
        <w:tc>
          <w:tcPr>
            <w:tcW w:w="1559" w:type="dxa"/>
            <w:tcBorders>
              <w:left w:val="single" w:sz="4" w:space="0" w:color="BFBFBF" w:themeColor="background1" w:themeShade="BF"/>
            </w:tcBorders>
            <w:tcMar>
              <w:right w:w="284" w:type="dxa"/>
            </w:tcMar>
            <w:vAlign w:val="center"/>
          </w:tcPr>
          <w:p w14:paraId="13701FE0" w14:textId="77777777" w:rsidR="00450CF4" w:rsidRPr="002A0826" w:rsidRDefault="00450CF4" w:rsidP="002C2140">
            <w:pPr>
              <w:jc w:val="right"/>
              <w:rPr>
                <w:b/>
              </w:rPr>
            </w:pPr>
            <w:r>
              <w:rPr>
                <w:b/>
              </w:rPr>
              <w:t>11</w:t>
            </w:r>
          </w:p>
        </w:tc>
      </w:tr>
      <w:tr w:rsidR="00450CF4" w14:paraId="13701FE6" w14:textId="77777777" w:rsidTr="00582F03">
        <w:trPr>
          <w:trHeight w:val="340"/>
        </w:trPr>
        <w:tc>
          <w:tcPr>
            <w:tcW w:w="4243" w:type="dxa"/>
            <w:tcBorders>
              <w:right w:val="single" w:sz="4" w:space="0" w:color="BFBFBF" w:themeColor="background1" w:themeShade="BF"/>
            </w:tcBorders>
            <w:vAlign w:val="center"/>
          </w:tcPr>
          <w:p w14:paraId="13701FE2" w14:textId="77777777" w:rsidR="00450CF4" w:rsidRDefault="00450CF4" w:rsidP="002C2140">
            <w:r>
              <w:t>Government S31 Grants</w:t>
            </w:r>
          </w:p>
        </w:tc>
        <w:tc>
          <w:tcPr>
            <w:tcW w:w="1559" w:type="dxa"/>
            <w:tcBorders>
              <w:left w:val="single" w:sz="4" w:space="0" w:color="BFBFBF" w:themeColor="background1" w:themeShade="BF"/>
              <w:right w:val="single" w:sz="4" w:space="0" w:color="BFBFBF" w:themeColor="background1" w:themeShade="BF"/>
            </w:tcBorders>
            <w:tcMar>
              <w:right w:w="284" w:type="dxa"/>
            </w:tcMar>
            <w:vAlign w:val="center"/>
          </w:tcPr>
          <w:p w14:paraId="13701FE3" w14:textId="77777777" w:rsidR="00450CF4" w:rsidRDefault="00450CF4" w:rsidP="002C2140">
            <w:pPr>
              <w:jc w:val="right"/>
            </w:pPr>
            <w:r>
              <w:t>(1,750)</w:t>
            </w:r>
          </w:p>
        </w:tc>
        <w:tc>
          <w:tcPr>
            <w:tcW w:w="1559" w:type="dxa"/>
            <w:tcBorders>
              <w:left w:val="single" w:sz="4" w:space="0" w:color="BFBFBF" w:themeColor="background1" w:themeShade="BF"/>
              <w:right w:val="single" w:sz="4" w:space="0" w:color="BFBFBF" w:themeColor="background1" w:themeShade="BF"/>
            </w:tcBorders>
            <w:tcMar>
              <w:right w:w="284" w:type="dxa"/>
            </w:tcMar>
            <w:vAlign w:val="center"/>
          </w:tcPr>
          <w:p w14:paraId="13701FE4" w14:textId="77777777" w:rsidR="00450CF4" w:rsidRDefault="00450CF4" w:rsidP="002C2140">
            <w:pPr>
              <w:jc w:val="right"/>
            </w:pPr>
            <w:r>
              <w:t>(2,042)</w:t>
            </w:r>
          </w:p>
        </w:tc>
        <w:tc>
          <w:tcPr>
            <w:tcW w:w="1559" w:type="dxa"/>
            <w:tcBorders>
              <w:left w:val="single" w:sz="4" w:space="0" w:color="BFBFBF" w:themeColor="background1" w:themeShade="BF"/>
            </w:tcBorders>
            <w:tcMar>
              <w:right w:w="284" w:type="dxa"/>
            </w:tcMar>
            <w:vAlign w:val="center"/>
          </w:tcPr>
          <w:p w14:paraId="13701FE5" w14:textId="77777777" w:rsidR="00450CF4" w:rsidRDefault="00450CF4" w:rsidP="002C2140">
            <w:pPr>
              <w:jc w:val="right"/>
            </w:pPr>
            <w:r>
              <w:t>(291)</w:t>
            </w:r>
          </w:p>
        </w:tc>
      </w:tr>
      <w:tr w:rsidR="00450CF4" w:rsidRPr="009D0F91" w14:paraId="13701FEB" w14:textId="77777777" w:rsidTr="00582F03">
        <w:trPr>
          <w:trHeight w:val="340"/>
        </w:trPr>
        <w:tc>
          <w:tcPr>
            <w:tcW w:w="4243" w:type="dxa"/>
            <w:tcBorders>
              <w:right w:val="single" w:sz="4" w:space="0" w:color="BFBFBF" w:themeColor="background1" w:themeShade="BF"/>
            </w:tcBorders>
            <w:vAlign w:val="center"/>
          </w:tcPr>
          <w:p w14:paraId="13701FE7" w14:textId="77777777" w:rsidR="00450CF4" w:rsidRPr="0081130A" w:rsidRDefault="00450CF4" w:rsidP="002C2140">
            <w:pPr>
              <w:rPr>
                <w:b/>
              </w:rPr>
            </w:pPr>
            <w:r w:rsidRPr="0081130A">
              <w:rPr>
                <w:b/>
              </w:rPr>
              <w:t>Total</w:t>
            </w:r>
          </w:p>
        </w:tc>
        <w:tc>
          <w:tcPr>
            <w:tcW w:w="1559" w:type="dxa"/>
            <w:tcBorders>
              <w:left w:val="single" w:sz="4" w:space="0" w:color="BFBFBF" w:themeColor="background1" w:themeShade="BF"/>
              <w:right w:val="single" w:sz="4" w:space="0" w:color="BFBFBF" w:themeColor="background1" w:themeShade="BF"/>
            </w:tcBorders>
            <w:tcMar>
              <w:right w:w="284" w:type="dxa"/>
            </w:tcMar>
            <w:vAlign w:val="center"/>
          </w:tcPr>
          <w:p w14:paraId="13701FE8" w14:textId="77777777" w:rsidR="00450CF4" w:rsidRPr="009D0F91" w:rsidRDefault="00450CF4" w:rsidP="002C2140">
            <w:pPr>
              <w:jc w:val="right"/>
              <w:rPr>
                <w:b/>
              </w:rPr>
            </w:pPr>
            <w:r>
              <w:rPr>
                <w:b/>
              </w:rPr>
              <w:t>(5,700</w:t>
            </w:r>
            <w:r w:rsidRPr="009D0F91">
              <w:rPr>
                <w:b/>
              </w:rPr>
              <w:t>)</w:t>
            </w:r>
          </w:p>
        </w:tc>
        <w:tc>
          <w:tcPr>
            <w:tcW w:w="1559" w:type="dxa"/>
            <w:tcBorders>
              <w:left w:val="single" w:sz="4" w:space="0" w:color="BFBFBF" w:themeColor="background1" w:themeShade="BF"/>
              <w:right w:val="single" w:sz="4" w:space="0" w:color="BFBFBF" w:themeColor="background1" w:themeShade="BF"/>
            </w:tcBorders>
            <w:tcMar>
              <w:right w:w="284" w:type="dxa"/>
            </w:tcMar>
            <w:vAlign w:val="center"/>
          </w:tcPr>
          <w:p w14:paraId="13701FE9" w14:textId="77777777" w:rsidR="00450CF4" w:rsidRPr="009D0F91" w:rsidRDefault="00450CF4" w:rsidP="002C2140">
            <w:pPr>
              <w:jc w:val="right"/>
              <w:rPr>
                <w:b/>
              </w:rPr>
            </w:pPr>
            <w:r>
              <w:rPr>
                <w:b/>
              </w:rPr>
              <w:t>(5,980)</w:t>
            </w:r>
          </w:p>
        </w:tc>
        <w:tc>
          <w:tcPr>
            <w:tcW w:w="1559" w:type="dxa"/>
            <w:tcBorders>
              <w:left w:val="single" w:sz="4" w:space="0" w:color="BFBFBF" w:themeColor="background1" w:themeShade="BF"/>
            </w:tcBorders>
            <w:tcMar>
              <w:right w:w="284" w:type="dxa"/>
            </w:tcMar>
            <w:vAlign w:val="center"/>
          </w:tcPr>
          <w:p w14:paraId="13701FEA" w14:textId="77777777" w:rsidR="00450CF4" w:rsidRPr="009D0F91" w:rsidRDefault="00450CF4" w:rsidP="002C2140">
            <w:pPr>
              <w:jc w:val="right"/>
              <w:rPr>
                <w:b/>
              </w:rPr>
            </w:pPr>
            <w:r>
              <w:rPr>
                <w:b/>
              </w:rPr>
              <w:t>(280)</w:t>
            </w:r>
          </w:p>
        </w:tc>
      </w:tr>
    </w:tbl>
    <w:p w14:paraId="13701FEC" w14:textId="77777777" w:rsidR="00450CF4" w:rsidRDefault="00450CF4" w:rsidP="00582F03">
      <w:pPr>
        <w:ind w:left="595"/>
      </w:pPr>
    </w:p>
    <w:p w14:paraId="13701FED" w14:textId="77777777" w:rsidR="00303324" w:rsidRPr="00303324" w:rsidRDefault="00450CF4" w:rsidP="00582F03">
      <w:pPr>
        <w:pStyle w:val="ListParagraph"/>
        <w:ind w:left="955"/>
      </w:pPr>
      <w:r w:rsidRPr="00303324">
        <w:t xml:space="preserve">A recent approach </w:t>
      </w:r>
      <w:r w:rsidR="007E1BC3" w:rsidRPr="00303324">
        <w:t xml:space="preserve">to the Council </w:t>
      </w:r>
      <w:r w:rsidRPr="00303324">
        <w:t xml:space="preserve">for financial support from Lunar Caravans Ltd has resulted in an </w:t>
      </w:r>
      <w:r w:rsidR="007E1BC3" w:rsidRPr="00303324">
        <w:t>offer t</w:t>
      </w:r>
      <w:r w:rsidRPr="00303324">
        <w:t xml:space="preserve">o be made with the new potential buyers of the business </w:t>
      </w:r>
      <w:r w:rsidR="007E1BC3" w:rsidRPr="00303324">
        <w:t>for</w:t>
      </w:r>
      <w:r w:rsidRPr="00303324">
        <w:t xml:space="preserve"> temporary business rate relief</w:t>
      </w:r>
      <w:r w:rsidR="007E1BC3" w:rsidRPr="00303324">
        <w:t xml:space="preserve"> for a 12 month period</w:t>
      </w:r>
      <w:r w:rsidRPr="00303324">
        <w:t xml:space="preserve">. </w:t>
      </w:r>
      <w:r w:rsidR="00303324" w:rsidRPr="00303324">
        <w:rPr>
          <w:rFonts w:cs="Arial"/>
          <w:szCs w:val="18"/>
        </w:rPr>
        <w:t>There is a cost to the Council in awarding this relief</w:t>
      </w:r>
      <w:r w:rsidR="00303324">
        <w:t xml:space="preserve"> but the purpose of this </w:t>
      </w:r>
      <w:r w:rsidR="00303324" w:rsidRPr="00303324">
        <w:t xml:space="preserve">course of action </w:t>
      </w:r>
      <w:r w:rsidR="00303324">
        <w:t xml:space="preserve">is </w:t>
      </w:r>
      <w:r w:rsidR="00303324" w:rsidRPr="00303324">
        <w:t>to protect jobs and the local economy.</w:t>
      </w:r>
      <w:r w:rsidR="00303324">
        <w:t xml:space="preserve"> The specific details of the proposed relief are still to be agreed but the cost to the council in a full year will be up to £120,000. As this will cross financial years, there will be a part-year impact in both 2019/20 and 2020/21. This cost can be met from the Business Rates Retention earmarked reserve.   </w:t>
      </w:r>
    </w:p>
    <w:p w14:paraId="13701FEE" w14:textId="77777777" w:rsidR="00031B88" w:rsidRDefault="00031B88" w:rsidP="00582F03">
      <w:pPr>
        <w:spacing w:after="120"/>
        <w:ind w:left="244"/>
        <w:jc w:val="left"/>
        <w:rPr>
          <w:b/>
          <w:color w:val="2E74B5" w:themeColor="accent1" w:themeShade="BF"/>
        </w:rPr>
      </w:pPr>
    </w:p>
    <w:p w14:paraId="13701FEF" w14:textId="77777777" w:rsidR="009F68B5" w:rsidRDefault="009F68B5" w:rsidP="00582F03">
      <w:pPr>
        <w:pStyle w:val="Heading2"/>
        <w:ind w:left="601"/>
      </w:pPr>
      <w:r>
        <w:t>Income from services</w:t>
      </w:r>
    </w:p>
    <w:p w14:paraId="13701FF0" w14:textId="77777777" w:rsidR="002C4A0A" w:rsidRDefault="009F68B5" w:rsidP="00582F03">
      <w:pPr>
        <w:pStyle w:val="ListParagraph"/>
        <w:ind w:left="955"/>
      </w:pPr>
      <w:r>
        <w:t>Table 3 shows the budgets and forecasts of the main types of income that are generated by services.  (Note: this is different to general funding that isn’t attributable to particular services such as non-specific government grants, council tax and business rates.)</w:t>
      </w:r>
    </w:p>
    <w:p w14:paraId="13701FF1" w14:textId="77777777" w:rsidR="00812150" w:rsidRDefault="00812150" w:rsidP="00582F03"/>
    <w:p w14:paraId="13701FF2" w14:textId="77777777" w:rsidR="00812150" w:rsidRDefault="00812150" w:rsidP="00582F03"/>
    <w:p w14:paraId="13701FF3" w14:textId="77777777" w:rsidR="002C4A0A" w:rsidRDefault="00632C2C" w:rsidP="00582F03">
      <w:pPr>
        <w:pStyle w:val="Heading3"/>
      </w:pPr>
      <w:r>
        <w:t>Table 3: Income from</w:t>
      </w:r>
      <w:r w:rsidR="00A67602">
        <w:t xml:space="preserve"> services</w:t>
      </w:r>
    </w:p>
    <w:p w14:paraId="13701FF4" w14:textId="77777777" w:rsidR="00812150" w:rsidRPr="00812150" w:rsidRDefault="00812150" w:rsidP="00582F03"/>
    <w:p w14:paraId="13701FF5" w14:textId="77777777" w:rsidR="00632C2C" w:rsidRPr="00E12977" w:rsidRDefault="00632C2C" w:rsidP="00582F03">
      <w:pPr>
        <w:ind w:left="244"/>
        <w:rPr>
          <w:sz w:val="12"/>
          <w:szCs w:val="12"/>
        </w:rPr>
      </w:pPr>
    </w:p>
    <w:tbl>
      <w:tblPr>
        <w:tblW w:w="9213" w:type="dxa"/>
        <w:tblInd w:w="308" w:type="dxa"/>
        <w:tblLayout w:type="fixed"/>
        <w:tblLook w:val="04A0" w:firstRow="1" w:lastRow="0" w:firstColumn="1" w:lastColumn="0" w:noHBand="0" w:noVBand="1"/>
      </w:tblPr>
      <w:tblGrid>
        <w:gridCol w:w="4536"/>
        <w:gridCol w:w="1169"/>
        <w:gridCol w:w="1169"/>
        <w:gridCol w:w="1169"/>
        <w:gridCol w:w="1170"/>
      </w:tblGrid>
      <w:tr w:rsidR="00632C2C" w:rsidRPr="00A67602" w14:paraId="13701FFF" w14:textId="77777777" w:rsidTr="00582F03">
        <w:trPr>
          <w:trHeight w:val="284"/>
        </w:trPr>
        <w:tc>
          <w:tcPr>
            <w:tcW w:w="453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3701FF6" w14:textId="77777777" w:rsidR="00632C2C" w:rsidRPr="00A67602" w:rsidRDefault="00632C2C" w:rsidP="009214E8">
            <w:pPr>
              <w:spacing w:line="240" w:lineRule="auto"/>
              <w:jc w:val="left"/>
              <w:rPr>
                <w:rFonts w:cs="Arial"/>
                <w:color w:val="000000"/>
                <w:szCs w:val="22"/>
              </w:rPr>
            </w:pPr>
            <w:r w:rsidRPr="00A67602">
              <w:rPr>
                <w:rFonts w:cs="Arial"/>
                <w:color w:val="000000"/>
                <w:szCs w:val="22"/>
              </w:rPr>
              <w:t>Service Area</w:t>
            </w:r>
          </w:p>
        </w:tc>
        <w:tc>
          <w:tcPr>
            <w:tcW w:w="1169" w:type="dxa"/>
            <w:tcBorders>
              <w:top w:val="single" w:sz="4" w:space="0" w:color="auto"/>
              <w:left w:val="nil"/>
              <w:bottom w:val="single" w:sz="4" w:space="0" w:color="auto"/>
              <w:right w:val="single" w:sz="4" w:space="0" w:color="auto"/>
            </w:tcBorders>
            <w:shd w:val="clear" w:color="000000" w:fill="D9D9D9"/>
            <w:vAlign w:val="center"/>
            <w:hideMark/>
          </w:tcPr>
          <w:p w14:paraId="13701FF7" w14:textId="77777777" w:rsidR="00632C2C" w:rsidRDefault="00632C2C" w:rsidP="009214E8">
            <w:pPr>
              <w:spacing w:line="240" w:lineRule="auto"/>
              <w:jc w:val="center"/>
              <w:rPr>
                <w:rFonts w:cs="Arial"/>
                <w:color w:val="000000"/>
                <w:szCs w:val="22"/>
              </w:rPr>
            </w:pPr>
            <w:r w:rsidRPr="00A67602">
              <w:rPr>
                <w:rFonts w:cs="Arial"/>
                <w:color w:val="000000"/>
                <w:szCs w:val="22"/>
              </w:rPr>
              <w:t>Last Year Income</w:t>
            </w:r>
          </w:p>
          <w:p w14:paraId="13701FF8" w14:textId="77777777" w:rsidR="00723E90" w:rsidRPr="00A67602" w:rsidRDefault="00723E90" w:rsidP="009214E8">
            <w:pPr>
              <w:spacing w:line="240" w:lineRule="auto"/>
              <w:jc w:val="center"/>
              <w:rPr>
                <w:rFonts w:cs="Arial"/>
                <w:color w:val="000000"/>
                <w:szCs w:val="22"/>
              </w:rPr>
            </w:pPr>
            <w:r>
              <w:rPr>
                <w:rFonts w:cs="Arial"/>
                <w:color w:val="000000"/>
                <w:szCs w:val="22"/>
              </w:rPr>
              <w:t>£’000</w:t>
            </w:r>
          </w:p>
        </w:tc>
        <w:tc>
          <w:tcPr>
            <w:tcW w:w="1169" w:type="dxa"/>
            <w:tcBorders>
              <w:top w:val="single" w:sz="4" w:space="0" w:color="auto"/>
              <w:left w:val="nil"/>
              <w:bottom w:val="single" w:sz="4" w:space="0" w:color="auto"/>
              <w:right w:val="single" w:sz="4" w:space="0" w:color="auto"/>
            </w:tcBorders>
            <w:shd w:val="clear" w:color="000000" w:fill="D9D9D9"/>
            <w:vAlign w:val="center"/>
            <w:hideMark/>
          </w:tcPr>
          <w:p w14:paraId="13701FF9" w14:textId="77777777" w:rsidR="00632C2C" w:rsidRDefault="00632C2C" w:rsidP="009214E8">
            <w:pPr>
              <w:spacing w:line="240" w:lineRule="auto"/>
              <w:jc w:val="center"/>
              <w:rPr>
                <w:rFonts w:cs="Arial"/>
                <w:color w:val="000000"/>
                <w:szCs w:val="22"/>
              </w:rPr>
            </w:pPr>
            <w:r w:rsidRPr="00A67602">
              <w:rPr>
                <w:rFonts w:cs="Arial"/>
                <w:color w:val="000000"/>
                <w:szCs w:val="22"/>
              </w:rPr>
              <w:t>Budget</w:t>
            </w:r>
          </w:p>
          <w:p w14:paraId="13701FFA" w14:textId="77777777" w:rsidR="00723E90" w:rsidRPr="00A67602" w:rsidRDefault="00723E90" w:rsidP="009214E8">
            <w:pPr>
              <w:spacing w:line="240" w:lineRule="auto"/>
              <w:jc w:val="center"/>
              <w:rPr>
                <w:rFonts w:cs="Arial"/>
                <w:color w:val="000000"/>
                <w:szCs w:val="22"/>
              </w:rPr>
            </w:pPr>
            <w:r>
              <w:rPr>
                <w:rFonts w:cs="Arial"/>
                <w:color w:val="000000"/>
                <w:szCs w:val="22"/>
              </w:rPr>
              <w:t>£’000</w:t>
            </w:r>
          </w:p>
        </w:tc>
        <w:tc>
          <w:tcPr>
            <w:tcW w:w="1169" w:type="dxa"/>
            <w:tcBorders>
              <w:top w:val="single" w:sz="4" w:space="0" w:color="auto"/>
              <w:left w:val="nil"/>
              <w:bottom w:val="single" w:sz="4" w:space="0" w:color="auto"/>
              <w:right w:val="single" w:sz="4" w:space="0" w:color="auto"/>
            </w:tcBorders>
            <w:shd w:val="clear" w:color="000000" w:fill="D9D9D9"/>
            <w:vAlign w:val="center"/>
            <w:hideMark/>
          </w:tcPr>
          <w:p w14:paraId="13701FFB" w14:textId="77777777" w:rsidR="00632C2C" w:rsidRDefault="00632C2C" w:rsidP="009214E8">
            <w:pPr>
              <w:spacing w:line="240" w:lineRule="auto"/>
              <w:jc w:val="center"/>
              <w:rPr>
                <w:rFonts w:cs="Arial"/>
                <w:color w:val="000000"/>
                <w:szCs w:val="22"/>
              </w:rPr>
            </w:pPr>
            <w:r w:rsidRPr="00A67602">
              <w:rPr>
                <w:rFonts w:cs="Arial"/>
                <w:color w:val="000000"/>
                <w:szCs w:val="22"/>
              </w:rPr>
              <w:t>Forecast</w:t>
            </w:r>
          </w:p>
          <w:p w14:paraId="13701FFC" w14:textId="77777777" w:rsidR="00723E90" w:rsidRPr="00A67602" w:rsidRDefault="00723E90" w:rsidP="009214E8">
            <w:pPr>
              <w:spacing w:line="240" w:lineRule="auto"/>
              <w:jc w:val="center"/>
              <w:rPr>
                <w:rFonts w:cs="Arial"/>
                <w:color w:val="000000"/>
                <w:szCs w:val="22"/>
              </w:rPr>
            </w:pPr>
            <w:r>
              <w:rPr>
                <w:rFonts w:cs="Arial"/>
                <w:color w:val="000000"/>
                <w:szCs w:val="22"/>
              </w:rPr>
              <w:t>£’000</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14:paraId="13701FFD" w14:textId="77777777" w:rsidR="00632C2C" w:rsidRDefault="00632C2C" w:rsidP="009214E8">
            <w:pPr>
              <w:spacing w:line="240" w:lineRule="auto"/>
              <w:jc w:val="center"/>
              <w:rPr>
                <w:rFonts w:cs="Arial"/>
                <w:color w:val="000000"/>
                <w:szCs w:val="22"/>
              </w:rPr>
            </w:pPr>
            <w:r w:rsidRPr="00A67602">
              <w:rPr>
                <w:rFonts w:cs="Arial"/>
                <w:color w:val="000000"/>
                <w:szCs w:val="22"/>
              </w:rPr>
              <w:t>Forecast (Surplus) / Deficit</w:t>
            </w:r>
          </w:p>
          <w:p w14:paraId="13701FFE" w14:textId="77777777" w:rsidR="00723E90" w:rsidRPr="00A67602" w:rsidRDefault="00723E90" w:rsidP="009214E8">
            <w:pPr>
              <w:spacing w:line="240" w:lineRule="auto"/>
              <w:jc w:val="center"/>
              <w:rPr>
                <w:rFonts w:cs="Arial"/>
                <w:color w:val="000000"/>
                <w:szCs w:val="22"/>
              </w:rPr>
            </w:pPr>
            <w:r>
              <w:rPr>
                <w:rFonts w:cs="Arial"/>
                <w:color w:val="000000"/>
                <w:szCs w:val="22"/>
              </w:rPr>
              <w:t>£’000</w:t>
            </w:r>
          </w:p>
        </w:tc>
      </w:tr>
      <w:tr w:rsidR="00632C2C" w:rsidRPr="00017022" w14:paraId="13702005" w14:textId="77777777" w:rsidTr="00582F03">
        <w:trPr>
          <w:trHeight w:val="284"/>
        </w:trPr>
        <w:tc>
          <w:tcPr>
            <w:tcW w:w="4536" w:type="dxa"/>
            <w:tcBorders>
              <w:top w:val="nil"/>
              <w:left w:val="single" w:sz="4" w:space="0" w:color="auto"/>
              <w:bottom w:val="nil"/>
              <w:right w:val="nil"/>
            </w:tcBorders>
            <w:shd w:val="clear" w:color="auto" w:fill="auto"/>
            <w:noWrap/>
            <w:vAlign w:val="center"/>
            <w:hideMark/>
          </w:tcPr>
          <w:p w14:paraId="13702000" w14:textId="77777777" w:rsidR="00632C2C" w:rsidRPr="00017022" w:rsidRDefault="00632C2C" w:rsidP="00E12977">
            <w:pPr>
              <w:spacing w:before="120" w:line="240" w:lineRule="auto"/>
              <w:jc w:val="left"/>
              <w:rPr>
                <w:rFonts w:cs="Arial"/>
                <w:b/>
                <w:bCs/>
                <w:szCs w:val="22"/>
              </w:rPr>
            </w:pPr>
            <w:r w:rsidRPr="00017022">
              <w:rPr>
                <w:rFonts w:cs="Arial"/>
                <w:b/>
                <w:bCs/>
                <w:szCs w:val="22"/>
              </w:rPr>
              <w:t>Neighbourhoods &amp; Development</w:t>
            </w:r>
          </w:p>
        </w:tc>
        <w:tc>
          <w:tcPr>
            <w:tcW w:w="1169" w:type="dxa"/>
            <w:tcBorders>
              <w:top w:val="nil"/>
              <w:left w:val="nil"/>
              <w:bottom w:val="nil"/>
              <w:right w:val="nil"/>
            </w:tcBorders>
            <w:shd w:val="clear" w:color="auto" w:fill="auto"/>
            <w:noWrap/>
            <w:vAlign w:val="center"/>
            <w:hideMark/>
          </w:tcPr>
          <w:p w14:paraId="13702001" w14:textId="77777777" w:rsidR="00632C2C" w:rsidRPr="00017022" w:rsidRDefault="00632C2C" w:rsidP="009214E8">
            <w:pPr>
              <w:spacing w:line="240" w:lineRule="auto"/>
              <w:jc w:val="left"/>
              <w:rPr>
                <w:rFonts w:cs="Arial"/>
                <w:b/>
                <w:bCs/>
                <w:szCs w:val="22"/>
              </w:rPr>
            </w:pPr>
          </w:p>
        </w:tc>
        <w:tc>
          <w:tcPr>
            <w:tcW w:w="1169" w:type="dxa"/>
            <w:tcBorders>
              <w:top w:val="nil"/>
              <w:left w:val="nil"/>
              <w:bottom w:val="nil"/>
              <w:right w:val="nil"/>
            </w:tcBorders>
            <w:shd w:val="clear" w:color="auto" w:fill="auto"/>
            <w:noWrap/>
            <w:vAlign w:val="center"/>
            <w:hideMark/>
          </w:tcPr>
          <w:p w14:paraId="13702002" w14:textId="77777777" w:rsidR="00632C2C" w:rsidRPr="00017022" w:rsidRDefault="00632C2C" w:rsidP="009214E8">
            <w:pPr>
              <w:spacing w:line="240" w:lineRule="auto"/>
              <w:jc w:val="right"/>
              <w:rPr>
                <w:rFonts w:cs="Arial"/>
                <w:sz w:val="20"/>
              </w:rPr>
            </w:pPr>
          </w:p>
        </w:tc>
        <w:tc>
          <w:tcPr>
            <w:tcW w:w="1169" w:type="dxa"/>
            <w:tcBorders>
              <w:top w:val="nil"/>
              <w:left w:val="nil"/>
              <w:bottom w:val="nil"/>
              <w:right w:val="nil"/>
            </w:tcBorders>
            <w:shd w:val="clear" w:color="auto" w:fill="auto"/>
            <w:noWrap/>
            <w:vAlign w:val="center"/>
            <w:hideMark/>
          </w:tcPr>
          <w:p w14:paraId="13702003" w14:textId="77777777" w:rsidR="00632C2C" w:rsidRPr="00017022" w:rsidRDefault="00632C2C" w:rsidP="009214E8">
            <w:pPr>
              <w:spacing w:line="240" w:lineRule="auto"/>
              <w:jc w:val="right"/>
              <w:rPr>
                <w:rFonts w:cs="Arial"/>
                <w:sz w:val="20"/>
              </w:rPr>
            </w:pPr>
          </w:p>
        </w:tc>
        <w:tc>
          <w:tcPr>
            <w:tcW w:w="1170" w:type="dxa"/>
            <w:tcBorders>
              <w:top w:val="nil"/>
              <w:left w:val="nil"/>
              <w:bottom w:val="nil"/>
              <w:right w:val="single" w:sz="4" w:space="0" w:color="auto"/>
            </w:tcBorders>
            <w:shd w:val="clear" w:color="auto" w:fill="auto"/>
            <w:noWrap/>
            <w:vAlign w:val="center"/>
            <w:hideMark/>
          </w:tcPr>
          <w:p w14:paraId="13702004" w14:textId="77777777" w:rsidR="00632C2C" w:rsidRPr="00017022" w:rsidRDefault="00632C2C" w:rsidP="009214E8">
            <w:pPr>
              <w:spacing w:line="240" w:lineRule="auto"/>
              <w:jc w:val="right"/>
              <w:rPr>
                <w:rFonts w:cs="Arial"/>
                <w:sz w:val="20"/>
              </w:rPr>
            </w:pPr>
          </w:p>
        </w:tc>
      </w:tr>
      <w:tr w:rsidR="00632C2C" w:rsidRPr="00A67602" w14:paraId="1370200B" w14:textId="77777777" w:rsidTr="00582F03">
        <w:trPr>
          <w:trHeight w:val="284"/>
        </w:trPr>
        <w:tc>
          <w:tcPr>
            <w:tcW w:w="4536"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13702006" w14:textId="77777777" w:rsidR="00632C2C" w:rsidRPr="00A67602" w:rsidRDefault="00632C2C" w:rsidP="009214E8">
            <w:pPr>
              <w:spacing w:line="240" w:lineRule="auto"/>
              <w:jc w:val="left"/>
              <w:rPr>
                <w:rFonts w:cs="Arial"/>
                <w:color w:val="000000"/>
                <w:szCs w:val="22"/>
              </w:rPr>
            </w:pPr>
            <w:r w:rsidRPr="00A67602">
              <w:rPr>
                <w:rFonts w:cs="Arial"/>
                <w:color w:val="000000"/>
                <w:szCs w:val="22"/>
              </w:rPr>
              <w:t>Car Parking charges and fines</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13702007"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(135)</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13702008"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(137)</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13702009"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(137)</w:t>
            </w:r>
          </w:p>
        </w:tc>
        <w:tc>
          <w:tcPr>
            <w:tcW w:w="1170" w:type="dxa"/>
            <w:tcBorders>
              <w:top w:val="single" w:sz="4" w:space="0" w:color="BFBFBF"/>
              <w:left w:val="nil"/>
              <w:bottom w:val="single" w:sz="4" w:space="0" w:color="BFBFBF"/>
              <w:right w:val="single" w:sz="4" w:space="0" w:color="auto"/>
            </w:tcBorders>
            <w:shd w:val="clear" w:color="auto" w:fill="auto"/>
            <w:noWrap/>
            <w:vAlign w:val="center"/>
            <w:hideMark/>
          </w:tcPr>
          <w:p w14:paraId="1370200A"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 xml:space="preserve">-  </w:t>
            </w:r>
          </w:p>
        </w:tc>
      </w:tr>
      <w:tr w:rsidR="00632C2C" w:rsidRPr="00A67602" w14:paraId="13702011" w14:textId="77777777" w:rsidTr="00582F03">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1370200C" w14:textId="77777777" w:rsidR="00632C2C" w:rsidRPr="00A67602" w:rsidRDefault="00632C2C" w:rsidP="00BE74CA">
            <w:pPr>
              <w:spacing w:line="240" w:lineRule="auto"/>
              <w:jc w:val="left"/>
              <w:rPr>
                <w:rFonts w:cs="Arial"/>
                <w:color w:val="000000"/>
                <w:szCs w:val="22"/>
              </w:rPr>
            </w:pPr>
            <w:r w:rsidRPr="00A67602">
              <w:rPr>
                <w:rFonts w:cs="Arial"/>
                <w:color w:val="000000"/>
                <w:szCs w:val="22"/>
              </w:rPr>
              <w:t xml:space="preserve">Civic Centre </w:t>
            </w:r>
            <w:r w:rsidR="00BE74CA">
              <w:rPr>
                <w:rFonts w:cs="Arial"/>
                <w:color w:val="000000"/>
                <w:szCs w:val="22"/>
              </w:rPr>
              <w:t>banqueting suite income</w:t>
            </w:r>
          </w:p>
        </w:tc>
        <w:tc>
          <w:tcPr>
            <w:tcW w:w="1169" w:type="dxa"/>
            <w:tcBorders>
              <w:top w:val="nil"/>
              <w:left w:val="nil"/>
              <w:bottom w:val="single" w:sz="4" w:space="0" w:color="BFBFBF"/>
              <w:right w:val="single" w:sz="4" w:space="0" w:color="BFBFBF"/>
            </w:tcBorders>
            <w:shd w:val="clear" w:color="auto" w:fill="auto"/>
            <w:noWrap/>
            <w:vAlign w:val="center"/>
            <w:hideMark/>
          </w:tcPr>
          <w:p w14:paraId="1370200D"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(21)</w:t>
            </w:r>
          </w:p>
        </w:tc>
        <w:tc>
          <w:tcPr>
            <w:tcW w:w="1169" w:type="dxa"/>
            <w:tcBorders>
              <w:top w:val="nil"/>
              <w:left w:val="nil"/>
              <w:bottom w:val="single" w:sz="4" w:space="0" w:color="BFBFBF"/>
              <w:right w:val="single" w:sz="4" w:space="0" w:color="BFBFBF"/>
            </w:tcBorders>
            <w:shd w:val="clear" w:color="auto" w:fill="auto"/>
            <w:noWrap/>
            <w:vAlign w:val="center"/>
            <w:hideMark/>
          </w:tcPr>
          <w:p w14:paraId="1370200E"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(18)</w:t>
            </w:r>
          </w:p>
        </w:tc>
        <w:tc>
          <w:tcPr>
            <w:tcW w:w="1169" w:type="dxa"/>
            <w:tcBorders>
              <w:top w:val="nil"/>
              <w:left w:val="nil"/>
              <w:bottom w:val="single" w:sz="4" w:space="0" w:color="BFBFBF"/>
              <w:right w:val="single" w:sz="4" w:space="0" w:color="BFBFBF"/>
            </w:tcBorders>
            <w:shd w:val="clear" w:color="auto" w:fill="auto"/>
            <w:noWrap/>
            <w:vAlign w:val="center"/>
            <w:hideMark/>
          </w:tcPr>
          <w:p w14:paraId="1370200F" w14:textId="77777777" w:rsidR="00632C2C" w:rsidRPr="00A67602" w:rsidRDefault="00632C2C" w:rsidP="00445F2F">
            <w:pPr>
              <w:spacing w:line="240" w:lineRule="auto"/>
              <w:jc w:val="right"/>
              <w:rPr>
                <w:rFonts w:cs="Arial"/>
                <w:color w:val="000000"/>
                <w:szCs w:val="22"/>
              </w:rPr>
            </w:pPr>
            <w:r w:rsidRPr="00A67602">
              <w:rPr>
                <w:rFonts w:cs="Arial"/>
                <w:color w:val="000000"/>
                <w:szCs w:val="22"/>
              </w:rPr>
              <w:t>(</w:t>
            </w:r>
            <w:r w:rsidR="00445F2F">
              <w:rPr>
                <w:rFonts w:cs="Arial"/>
                <w:color w:val="000000"/>
                <w:szCs w:val="22"/>
              </w:rPr>
              <w:t>12</w:t>
            </w:r>
            <w:r w:rsidRPr="00A67602">
              <w:rPr>
                <w:rFonts w:cs="Arial"/>
                <w:color w:val="000000"/>
                <w:szCs w:val="22"/>
              </w:rPr>
              <w:t>)</w:t>
            </w:r>
          </w:p>
        </w:tc>
        <w:tc>
          <w:tcPr>
            <w:tcW w:w="1170" w:type="dxa"/>
            <w:tcBorders>
              <w:top w:val="nil"/>
              <w:left w:val="nil"/>
              <w:bottom w:val="single" w:sz="4" w:space="0" w:color="BFBFBF"/>
              <w:right w:val="single" w:sz="4" w:space="0" w:color="auto"/>
            </w:tcBorders>
            <w:shd w:val="clear" w:color="auto" w:fill="auto"/>
            <w:noWrap/>
            <w:vAlign w:val="center"/>
            <w:hideMark/>
          </w:tcPr>
          <w:p w14:paraId="13702010" w14:textId="77777777" w:rsidR="00632C2C" w:rsidRPr="00A67602" w:rsidRDefault="00445F2F" w:rsidP="00445F2F">
            <w:pPr>
              <w:spacing w:line="240" w:lineRule="auto"/>
              <w:jc w:val="right"/>
              <w:rPr>
                <w:rFonts w:cs="Arial"/>
                <w:color w:val="000000"/>
                <w:szCs w:val="22"/>
              </w:rPr>
            </w:pPr>
            <w:r>
              <w:rPr>
                <w:rFonts w:cs="Arial"/>
                <w:color w:val="000000"/>
                <w:szCs w:val="22"/>
              </w:rPr>
              <w:t>6</w:t>
            </w:r>
            <w:r w:rsidR="00632C2C" w:rsidRPr="00A67602">
              <w:rPr>
                <w:rFonts w:cs="Arial"/>
                <w:color w:val="000000"/>
                <w:szCs w:val="22"/>
              </w:rPr>
              <w:t xml:space="preserve"> </w:t>
            </w:r>
          </w:p>
        </w:tc>
      </w:tr>
      <w:tr w:rsidR="00632C2C" w:rsidRPr="00A67602" w14:paraId="13702017" w14:textId="77777777" w:rsidTr="00582F03">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13702012" w14:textId="77777777" w:rsidR="00632C2C" w:rsidRPr="00A67602" w:rsidRDefault="00632C2C" w:rsidP="009214E8">
            <w:pPr>
              <w:spacing w:line="240" w:lineRule="auto"/>
              <w:jc w:val="left"/>
              <w:rPr>
                <w:rFonts w:cs="Arial"/>
                <w:color w:val="000000"/>
                <w:szCs w:val="22"/>
              </w:rPr>
            </w:pPr>
            <w:r w:rsidRPr="00A67602">
              <w:rPr>
                <w:rFonts w:cs="Arial"/>
                <w:color w:val="000000"/>
                <w:szCs w:val="22"/>
              </w:rPr>
              <w:t>Community Sports Coaching</w:t>
            </w:r>
          </w:p>
        </w:tc>
        <w:tc>
          <w:tcPr>
            <w:tcW w:w="1169" w:type="dxa"/>
            <w:tcBorders>
              <w:top w:val="nil"/>
              <w:left w:val="nil"/>
              <w:bottom w:val="single" w:sz="4" w:space="0" w:color="BFBFBF"/>
              <w:right w:val="single" w:sz="4" w:space="0" w:color="BFBFBF"/>
            </w:tcBorders>
            <w:shd w:val="clear" w:color="auto" w:fill="auto"/>
            <w:noWrap/>
            <w:vAlign w:val="center"/>
            <w:hideMark/>
          </w:tcPr>
          <w:p w14:paraId="13702013"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(235)</w:t>
            </w:r>
          </w:p>
        </w:tc>
        <w:tc>
          <w:tcPr>
            <w:tcW w:w="1169" w:type="dxa"/>
            <w:tcBorders>
              <w:top w:val="nil"/>
              <w:left w:val="nil"/>
              <w:bottom w:val="single" w:sz="4" w:space="0" w:color="BFBFBF"/>
              <w:right w:val="single" w:sz="4" w:space="0" w:color="BFBFBF"/>
            </w:tcBorders>
            <w:shd w:val="clear" w:color="auto" w:fill="auto"/>
            <w:noWrap/>
            <w:vAlign w:val="center"/>
            <w:hideMark/>
          </w:tcPr>
          <w:p w14:paraId="13702014"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(203)</w:t>
            </w:r>
          </w:p>
        </w:tc>
        <w:tc>
          <w:tcPr>
            <w:tcW w:w="1169" w:type="dxa"/>
            <w:tcBorders>
              <w:top w:val="nil"/>
              <w:left w:val="nil"/>
              <w:bottom w:val="single" w:sz="4" w:space="0" w:color="BFBFBF"/>
              <w:right w:val="single" w:sz="4" w:space="0" w:color="BFBFBF"/>
            </w:tcBorders>
            <w:shd w:val="clear" w:color="auto" w:fill="auto"/>
            <w:noWrap/>
            <w:vAlign w:val="center"/>
            <w:hideMark/>
          </w:tcPr>
          <w:p w14:paraId="13702015"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(253)</w:t>
            </w:r>
          </w:p>
        </w:tc>
        <w:tc>
          <w:tcPr>
            <w:tcW w:w="1170" w:type="dxa"/>
            <w:tcBorders>
              <w:top w:val="nil"/>
              <w:left w:val="nil"/>
              <w:bottom w:val="single" w:sz="4" w:space="0" w:color="BFBFBF"/>
              <w:right w:val="single" w:sz="4" w:space="0" w:color="auto"/>
            </w:tcBorders>
            <w:shd w:val="clear" w:color="auto" w:fill="auto"/>
            <w:noWrap/>
            <w:vAlign w:val="center"/>
            <w:hideMark/>
          </w:tcPr>
          <w:p w14:paraId="13702016"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(50)</w:t>
            </w:r>
          </w:p>
        </w:tc>
      </w:tr>
      <w:tr w:rsidR="00632C2C" w:rsidRPr="00A67602" w14:paraId="1370201D" w14:textId="77777777" w:rsidTr="00582F03">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13702018" w14:textId="77777777" w:rsidR="00632C2C" w:rsidRPr="00A67602" w:rsidRDefault="00632C2C" w:rsidP="009214E8">
            <w:pPr>
              <w:spacing w:line="240" w:lineRule="auto"/>
              <w:jc w:val="left"/>
              <w:rPr>
                <w:rFonts w:cs="Arial"/>
                <w:color w:val="000000"/>
                <w:szCs w:val="22"/>
              </w:rPr>
            </w:pPr>
            <w:r w:rsidRPr="00A67602">
              <w:rPr>
                <w:rFonts w:cs="Arial"/>
                <w:color w:val="000000"/>
                <w:szCs w:val="22"/>
              </w:rPr>
              <w:t>Dog impounding, littering and dog fouling</w:t>
            </w:r>
          </w:p>
        </w:tc>
        <w:tc>
          <w:tcPr>
            <w:tcW w:w="1169" w:type="dxa"/>
            <w:tcBorders>
              <w:top w:val="nil"/>
              <w:left w:val="nil"/>
              <w:bottom w:val="single" w:sz="4" w:space="0" w:color="BFBFBF"/>
              <w:right w:val="single" w:sz="4" w:space="0" w:color="BFBFBF"/>
            </w:tcBorders>
            <w:shd w:val="clear" w:color="auto" w:fill="auto"/>
            <w:noWrap/>
            <w:vAlign w:val="center"/>
            <w:hideMark/>
          </w:tcPr>
          <w:p w14:paraId="13702019"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(6)</w:t>
            </w:r>
          </w:p>
        </w:tc>
        <w:tc>
          <w:tcPr>
            <w:tcW w:w="1169" w:type="dxa"/>
            <w:tcBorders>
              <w:top w:val="nil"/>
              <w:left w:val="nil"/>
              <w:bottom w:val="single" w:sz="4" w:space="0" w:color="BFBFBF"/>
              <w:right w:val="single" w:sz="4" w:space="0" w:color="BFBFBF"/>
            </w:tcBorders>
            <w:shd w:val="clear" w:color="auto" w:fill="auto"/>
            <w:noWrap/>
            <w:vAlign w:val="center"/>
            <w:hideMark/>
          </w:tcPr>
          <w:p w14:paraId="1370201A"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(18)</w:t>
            </w:r>
          </w:p>
        </w:tc>
        <w:tc>
          <w:tcPr>
            <w:tcW w:w="1169" w:type="dxa"/>
            <w:tcBorders>
              <w:top w:val="nil"/>
              <w:left w:val="nil"/>
              <w:bottom w:val="single" w:sz="4" w:space="0" w:color="BFBFBF"/>
              <w:right w:val="single" w:sz="4" w:space="0" w:color="BFBFBF"/>
            </w:tcBorders>
            <w:shd w:val="clear" w:color="auto" w:fill="auto"/>
            <w:noWrap/>
            <w:vAlign w:val="center"/>
            <w:hideMark/>
          </w:tcPr>
          <w:p w14:paraId="1370201B"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(18)</w:t>
            </w:r>
          </w:p>
        </w:tc>
        <w:tc>
          <w:tcPr>
            <w:tcW w:w="1170" w:type="dxa"/>
            <w:tcBorders>
              <w:top w:val="nil"/>
              <w:left w:val="nil"/>
              <w:bottom w:val="single" w:sz="4" w:space="0" w:color="BFBFBF"/>
              <w:right w:val="single" w:sz="4" w:space="0" w:color="auto"/>
            </w:tcBorders>
            <w:shd w:val="clear" w:color="auto" w:fill="auto"/>
            <w:noWrap/>
            <w:vAlign w:val="center"/>
            <w:hideMark/>
          </w:tcPr>
          <w:p w14:paraId="1370201C"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 xml:space="preserve">-  </w:t>
            </w:r>
          </w:p>
        </w:tc>
      </w:tr>
      <w:tr w:rsidR="00632C2C" w:rsidRPr="00A67602" w14:paraId="13702023" w14:textId="77777777" w:rsidTr="00582F03">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1370201E" w14:textId="77777777" w:rsidR="00632C2C" w:rsidRPr="00A67602" w:rsidRDefault="00632C2C" w:rsidP="009214E8">
            <w:pPr>
              <w:spacing w:line="240" w:lineRule="auto"/>
              <w:jc w:val="left"/>
              <w:rPr>
                <w:rFonts w:cs="Arial"/>
                <w:color w:val="000000"/>
                <w:szCs w:val="22"/>
              </w:rPr>
            </w:pPr>
            <w:r w:rsidRPr="00A67602">
              <w:rPr>
                <w:rFonts w:cs="Arial"/>
                <w:color w:val="000000"/>
                <w:szCs w:val="22"/>
              </w:rPr>
              <w:t>Environmental Permits</w:t>
            </w:r>
          </w:p>
        </w:tc>
        <w:tc>
          <w:tcPr>
            <w:tcW w:w="1169" w:type="dxa"/>
            <w:tcBorders>
              <w:top w:val="nil"/>
              <w:left w:val="nil"/>
              <w:bottom w:val="single" w:sz="4" w:space="0" w:color="BFBFBF"/>
              <w:right w:val="single" w:sz="4" w:space="0" w:color="BFBFBF"/>
            </w:tcBorders>
            <w:shd w:val="clear" w:color="auto" w:fill="auto"/>
            <w:noWrap/>
            <w:vAlign w:val="center"/>
            <w:hideMark/>
          </w:tcPr>
          <w:p w14:paraId="1370201F"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(24)</w:t>
            </w:r>
          </w:p>
        </w:tc>
        <w:tc>
          <w:tcPr>
            <w:tcW w:w="1169" w:type="dxa"/>
            <w:tcBorders>
              <w:top w:val="nil"/>
              <w:left w:val="nil"/>
              <w:bottom w:val="single" w:sz="4" w:space="0" w:color="BFBFBF"/>
              <w:right w:val="single" w:sz="4" w:space="0" w:color="BFBFBF"/>
            </w:tcBorders>
            <w:shd w:val="clear" w:color="auto" w:fill="auto"/>
            <w:noWrap/>
            <w:vAlign w:val="center"/>
            <w:hideMark/>
          </w:tcPr>
          <w:p w14:paraId="13702020"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(19)</w:t>
            </w:r>
          </w:p>
        </w:tc>
        <w:tc>
          <w:tcPr>
            <w:tcW w:w="1169" w:type="dxa"/>
            <w:tcBorders>
              <w:top w:val="nil"/>
              <w:left w:val="nil"/>
              <w:bottom w:val="single" w:sz="4" w:space="0" w:color="BFBFBF"/>
              <w:right w:val="single" w:sz="4" w:space="0" w:color="BFBFBF"/>
            </w:tcBorders>
            <w:shd w:val="clear" w:color="auto" w:fill="auto"/>
            <w:noWrap/>
            <w:vAlign w:val="center"/>
            <w:hideMark/>
          </w:tcPr>
          <w:p w14:paraId="13702021"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(19)</w:t>
            </w:r>
          </w:p>
        </w:tc>
        <w:tc>
          <w:tcPr>
            <w:tcW w:w="1170" w:type="dxa"/>
            <w:tcBorders>
              <w:top w:val="nil"/>
              <w:left w:val="nil"/>
              <w:bottom w:val="single" w:sz="4" w:space="0" w:color="BFBFBF"/>
              <w:right w:val="single" w:sz="4" w:space="0" w:color="auto"/>
            </w:tcBorders>
            <w:shd w:val="clear" w:color="auto" w:fill="auto"/>
            <w:noWrap/>
            <w:vAlign w:val="center"/>
            <w:hideMark/>
          </w:tcPr>
          <w:p w14:paraId="13702022"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 xml:space="preserve">-  </w:t>
            </w:r>
          </w:p>
        </w:tc>
      </w:tr>
      <w:tr w:rsidR="00632C2C" w:rsidRPr="00A67602" w14:paraId="13702029" w14:textId="77777777" w:rsidTr="00582F03">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13702024" w14:textId="77777777" w:rsidR="00632C2C" w:rsidRPr="00A67602" w:rsidRDefault="00632C2C" w:rsidP="009214E8">
            <w:pPr>
              <w:spacing w:line="240" w:lineRule="auto"/>
              <w:jc w:val="left"/>
              <w:rPr>
                <w:rFonts w:cs="Arial"/>
                <w:color w:val="000000"/>
                <w:szCs w:val="22"/>
              </w:rPr>
            </w:pPr>
            <w:r w:rsidRPr="00A67602">
              <w:rPr>
                <w:rFonts w:cs="Arial"/>
                <w:color w:val="000000"/>
                <w:szCs w:val="22"/>
              </w:rPr>
              <w:t xml:space="preserve">Football pitches, fairs, </w:t>
            </w:r>
            <w:r w:rsidR="00812150" w:rsidRPr="00A67602">
              <w:rPr>
                <w:rFonts w:cs="Arial"/>
                <w:color w:val="000000"/>
                <w:szCs w:val="22"/>
              </w:rPr>
              <w:t>etc.</w:t>
            </w:r>
          </w:p>
        </w:tc>
        <w:tc>
          <w:tcPr>
            <w:tcW w:w="1169" w:type="dxa"/>
            <w:tcBorders>
              <w:top w:val="nil"/>
              <w:left w:val="nil"/>
              <w:bottom w:val="single" w:sz="4" w:space="0" w:color="BFBFBF"/>
              <w:right w:val="single" w:sz="4" w:space="0" w:color="BFBFBF"/>
            </w:tcBorders>
            <w:shd w:val="clear" w:color="auto" w:fill="auto"/>
            <w:noWrap/>
            <w:vAlign w:val="center"/>
            <w:hideMark/>
          </w:tcPr>
          <w:p w14:paraId="13702025"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(26)</w:t>
            </w:r>
          </w:p>
        </w:tc>
        <w:tc>
          <w:tcPr>
            <w:tcW w:w="1169" w:type="dxa"/>
            <w:tcBorders>
              <w:top w:val="nil"/>
              <w:left w:val="nil"/>
              <w:bottom w:val="single" w:sz="4" w:space="0" w:color="BFBFBF"/>
              <w:right w:val="single" w:sz="4" w:space="0" w:color="BFBFBF"/>
            </w:tcBorders>
            <w:shd w:val="clear" w:color="auto" w:fill="auto"/>
            <w:noWrap/>
            <w:vAlign w:val="center"/>
            <w:hideMark/>
          </w:tcPr>
          <w:p w14:paraId="13702026"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(15)</w:t>
            </w:r>
          </w:p>
        </w:tc>
        <w:tc>
          <w:tcPr>
            <w:tcW w:w="1169" w:type="dxa"/>
            <w:tcBorders>
              <w:top w:val="nil"/>
              <w:left w:val="nil"/>
              <w:bottom w:val="single" w:sz="4" w:space="0" w:color="BFBFBF"/>
              <w:right w:val="single" w:sz="4" w:space="0" w:color="BFBFBF"/>
            </w:tcBorders>
            <w:shd w:val="clear" w:color="auto" w:fill="auto"/>
            <w:noWrap/>
            <w:vAlign w:val="center"/>
            <w:hideMark/>
          </w:tcPr>
          <w:p w14:paraId="13702027"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(19)</w:t>
            </w:r>
          </w:p>
        </w:tc>
        <w:tc>
          <w:tcPr>
            <w:tcW w:w="1170" w:type="dxa"/>
            <w:tcBorders>
              <w:top w:val="nil"/>
              <w:left w:val="nil"/>
              <w:bottom w:val="single" w:sz="4" w:space="0" w:color="BFBFBF"/>
              <w:right w:val="single" w:sz="4" w:space="0" w:color="auto"/>
            </w:tcBorders>
            <w:shd w:val="clear" w:color="auto" w:fill="auto"/>
            <w:noWrap/>
            <w:vAlign w:val="center"/>
            <w:hideMark/>
          </w:tcPr>
          <w:p w14:paraId="13702028"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(4)</w:t>
            </w:r>
          </w:p>
        </w:tc>
      </w:tr>
      <w:tr w:rsidR="00632C2C" w:rsidRPr="00A67602" w14:paraId="1370202F" w14:textId="77777777" w:rsidTr="00582F03">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1370202A" w14:textId="77777777" w:rsidR="00632C2C" w:rsidRPr="00A67602" w:rsidRDefault="00632C2C" w:rsidP="009214E8">
            <w:pPr>
              <w:spacing w:line="240" w:lineRule="auto"/>
              <w:jc w:val="left"/>
              <w:rPr>
                <w:rFonts w:cs="Arial"/>
                <w:color w:val="000000"/>
                <w:szCs w:val="22"/>
              </w:rPr>
            </w:pPr>
            <w:r w:rsidRPr="00A67602">
              <w:rPr>
                <w:rFonts w:cs="Arial"/>
                <w:color w:val="000000"/>
                <w:szCs w:val="22"/>
              </w:rPr>
              <w:t>Grounds Maintenance</w:t>
            </w:r>
          </w:p>
        </w:tc>
        <w:tc>
          <w:tcPr>
            <w:tcW w:w="1169" w:type="dxa"/>
            <w:tcBorders>
              <w:top w:val="nil"/>
              <w:left w:val="nil"/>
              <w:bottom w:val="single" w:sz="4" w:space="0" w:color="BFBFBF"/>
              <w:right w:val="single" w:sz="4" w:space="0" w:color="BFBFBF"/>
            </w:tcBorders>
            <w:shd w:val="clear" w:color="auto" w:fill="auto"/>
            <w:noWrap/>
            <w:vAlign w:val="center"/>
            <w:hideMark/>
          </w:tcPr>
          <w:p w14:paraId="1370202B"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(156)</w:t>
            </w:r>
          </w:p>
        </w:tc>
        <w:tc>
          <w:tcPr>
            <w:tcW w:w="1169" w:type="dxa"/>
            <w:tcBorders>
              <w:top w:val="nil"/>
              <w:left w:val="nil"/>
              <w:bottom w:val="single" w:sz="4" w:space="0" w:color="BFBFBF"/>
              <w:right w:val="single" w:sz="4" w:space="0" w:color="BFBFBF"/>
            </w:tcBorders>
            <w:shd w:val="clear" w:color="auto" w:fill="auto"/>
            <w:noWrap/>
            <w:vAlign w:val="center"/>
            <w:hideMark/>
          </w:tcPr>
          <w:p w14:paraId="1370202C"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(162)</w:t>
            </w:r>
          </w:p>
        </w:tc>
        <w:tc>
          <w:tcPr>
            <w:tcW w:w="1169" w:type="dxa"/>
            <w:tcBorders>
              <w:top w:val="nil"/>
              <w:left w:val="nil"/>
              <w:bottom w:val="single" w:sz="4" w:space="0" w:color="BFBFBF"/>
              <w:right w:val="single" w:sz="4" w:space="0" w:color="BFBFBF"/>
            </w:tcBorders>
            <w:shd w:val="clear" w:color="auto" w:fill="auto"/>
            <w:noWrap/>
            <w:vAlign w:val="center"/>
            <w:hideMark/>
          </w:tcPr>
          <w:p w14:paraId="1370202D"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(162)</w:t>
            </w:r>
          </w:p>
        </w:tc>
        <w:tc>
          <w:tcPr>
            <w:tcW w:w="1170" w:type="dxa"/>
            <w:tcBorders>
              <w:top w:val="nil"/>
              <w:left w:val="nil"/>
              <w:bottom w:val="single" w:sz="4" w:space="0" w:color="BFBFBF"/>
              <w:right w:val="single" w:sz="4" w:space="0" w:color="auto"/>
            </w:tcBorders>
            <w:shd w:val="clear" w:color="auto" w:fill="auto"/>
            <w:noWrap/>
            <w:vAlign w:val="center"/>
            <w:hideMark/>
          </w:tcPr>
          <w:p w14:paraId="1370202E"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 xml:space="preserve">-  </w:t>
            </w:r>
          </w:p>
        </w:tc>
      </w:tr>
      <w:tr w:rsidR="00632C2C" w:rsidRPr="00A67602" w14:paraId="13702035" w14:textId="77777777" w:rsidTr="00582F03">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13702030" w14:textId="77777777" w:rsidR="00632C2C" w:rsidRPr="00A67602" w:rsidRDefault="00632C2C" w:rsidP="009214E8">
            <w:pPr>
              <w:spacing w:line="240" w:lineRule="auto"/>
              <w:jc w:val="left"/>
              <w:rPr>
                <w:rFonts w:cs="Arial"/>
                <w:color w:val="000000"/>
                <w:szCs w:val="22"/>
              </w:rPr>
            </w:pPr>
            <w:r w:rsidRPr="00A67602">
              <w:rPr>
                <w:rFonts w:cs="Arial"/>
                <w:color w:val="000000"/>
                <w:szCs w:val="22"/>
              </w:rPr>
              <w:t>Licensing - Piercings &amp; Tattoos and Animals</w:t>
            </w:r>
          </w:p>
        </w:tc>
        <w:tc>
          <w:tcPr>
            <w:tcW w:w="1169" w:type="dxa"/>
            <w:tcBorders>
              <w:top w:val="nil"/>
              <w:left w:val="nil"/>
              <w:bottom w:val="single" w:sz="4" w:space="0" w:color="BFBFBF"/>
              <w:right w:val="single" w:sz="4" w:space="0" w:color="BFBFBF"/>
            </w:tcBorders>
            <w:shd w:val="clear" w:color="auto" w:fill="auto"/>
            <w:noWrap/>
            <w:vAlign w:val="center"/>
            <w:hideMark/>
          </w:tcPr>
          <w:p w14:paraId="13702031"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(12)</w:t>
            </w:r>
          </w:p>
        </w:tc>
        <w:tc>
          <w:tcPr>
            <w:tcW w:w="1169" w:type="dxa"/>
            <w:tcBorders>
              <w:top w:val="nil"/>
              <w:left w:val="nil"/>
              <w:bottom w:val="single" w:sz="4" w:space="0" w:color="BFBFBF"/>
              <w:right w:val="single" w:sz="4" w:space="0" w:color="BFBFBF"/>
            </w:tcBorders>
            <w:shd w:val="clear" w:color="auto" w:fill="auto"/>
            <w:noWrap/>
            <w:vAlign w:val="center"/>
            <w:hideMark/>
          </w:tcPr>
          <w:p w14:paraId="13702032"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(7)</w:t>
            </w:r>
          </w:p>
        </w:tc>
        <w:tc>
          <w:tcPr>
            <w:tcW w:w="1169" w:type="dxa"/>
            <w:tcBorders>
              <w:top w:val="nil"/>
              <w:left w:val="nil"/>
              <w:bottom w:val="single" w:sz="4" w:space="0" w:color="BFBFBF"/>
              <w:right w:val="single" w:sz="4" w:space="0" w:color="BFBFBF"/>
            </w:tcBorders>
            <w:shd w:val="clear" w:color="auto" w:fill="auto"/>
            <w:noWrap/>
            <w:vAlign w:val="center"/>
            <w:hideMark/>
          </w:tcPr>
          <w:p w14:paraId="13702033"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(7)</w:t>
            </w:r>
          </w:p>
        </w:tc>
        <w:tc>
          <w:tcPr>
            <w:tcW w:w="1170" w:type="dxa"/>
            <w:tcBorders>
              <w:top w:val="nil"/>
              <w:left w:val="nil"/>
              <w:bottom w:val="single" w:sz="4" w:space="0" w:color="BFBFBF"/>
              <w:right w:val="single" w:sz="4" w:space="0" w:color="auto"/>
            </w:tcBorders>
            <w:shd w:val="clear" w:color="auto" w:fill="auto"/>
            <w:noWrap/>
            <w:vAlign w:val="center"/>
            <w:hideMark/>
          </w:tcPr>
          <w:p w14:paraId="13702034"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 xml:space="preserve">-  </w:t>
            </w:r>
          </w:p>
        </w:tc>
      </w:tr>
      <w:tr w:rsidR="00632C2C" w:rsidRPr="00A67602" w14:paraId="1370203B" w14:textId="77777777" w:rsidTr="00582F03">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13702036" w14:textId="77777777" w:rsidR="00632C2C" w:rsidRPr="00A67602" w:rsidRDefault="00632C2C" w:rsidP="009214E8">
            <w:pPr>
              <w:spacing w:line="240" w:lineRule="auto"/>
              <w:jc w:val="left"/>
              <w:rPr>
                <w:rFonts w:cs="Arial"/>
                <w:color w:val="000000"/>
                <w:szCs w:val="22"/>
              </w:rPr>
            </w:pPr>
            <w:r w:rsidRPr="00A67602">
              <w:rPr>
                <w:rFonts w:cs="Arial"/>
                <w:color w:val="000000"/>
                <w:szCs w:val="22"/>
              </w:rPr>
              <w:t>Licensing - Street Traders</w:t>
            </w:r>
          </w:p>
        </w:tc>
        <w:tc>
          <w:tcPr>
            <w:tcW w:w="1169" w:type="dxa"/>
            <w:tcBorders>
              <w:top w:val="nil"/>
              <w:left w:val="nil"/>
              <w:bottom w:val="single" w:sz="4" w:space="0" w:color="BFBFBF"/>
              <w:right w:val="single" w:sz="4" w:space="0" w:color="BFBFBF"/>
            </w:tcBorders>
            <w:shd w:val="clear" w:color="auto" w:fill="auto"/>
            <w:noWrap/>
            <w:vAlign w:val="center"/>
            <w:hideMark/>
          </w:tcPr>
          <w:p w14:paraId="13702037"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(28)</w:t>
            </w:r>
          </w:p>
        </w:tc>
        <w:tc>
          <w:tcPr>
            <w:tcW w:w="1169" w:type="dxa"/>
            <w:tcBorders>
              <w:top w:val="nil"/>
              <w:left w:val="nil"/>
              <w:bottom w:val="single" w:sz="4" w:space="0" w:color="BFBFBF"/>
              <w:right w:val="single" w:sz="4" w:space="0" w:color="BFBFBF"/>
            </w:tcBorders>
            <w:shd w:val="clear" w:color="auto" w:fill="auto"/>
            <w:noWrap/>
            <w:vAlign w:val="center"/>
            <w:hideMark/>
          </w:tcPr>
          <w:p w14:paraId="13702038"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(25)</w:t>
            </w:r>
          </w:p>
        </w:tc>
        <w:tc>
          <w:tcPr>
            <w:tcW w:w="1169" w:type="dxa"/>
            <w:tcBorders>
              <w:top w:val="nil"/>
              <w:left w:val="nil"/>
              <w:bottom w:val="single" w:sz="4" w:space="0" w:color="BFBFBF"/>
              <w:right w:val="single" w:sz="4" w:space="0" w:color="BFBFBF"/>
            </w:tcBorders>
            <w:shd w:val="clear" w:color="auto" w:fill="auto"/>
            <w:noWrap/>
            <w:vAlign w:val="center"/>
            <w:hideMark/>
          </w:tcPr>
          <w:p w14:paraId="13702039"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(25)</w:t>
            </w:r>
          </w:p>
        </w:tc>
        <w:tc>
          <w:tcPr>
            <w:tcW w:w="1170" w:type="dxa"/>
            <w:tcBorders>
              <w:top w:val="nil"/>
              <w:left w:val="nil"/>
              <w:bottom w:val="single" w:sz="4" w:space="0" w:color="BFBFBF"/>
              <w:right w:val="single" w:sz="4" w:space="0" w:color="auto"/>
            </w:tcBorders>
            <w:shd w:val="clear" w:color="auto" w:fill="auto"/>
            <w:noWrap/>
            <w:vAlign w:val="center"/>
            <w:hideMark/>
          </w:tcPr>
          <w:p w14:paraId="1370203A"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 xml:space="preserve">-  </w:t>
            </w:r>
          </w:p>
        </w:tc>
      </w:tr>
      <w:tr w:rsidR="00632C2C" w:rsidRPr="00A67602" w14:paraId="13702041" w14:textId="77777777" w:rsidTr="00582F03">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1370203C" w14:textId="77777777" w:rsidR="00632C2C" w:rsidRPr="00A67602" w:rsidRDefault="00632C2C" w:rsidP="009214E8">
            <w:pPr>
              <w:spacing w:line="240" w:lineRule="auto"/>
              <w:jc w:val="left"/>
              <w:rPr>
                <w:rFonts w:cs="Arial"/>
                <w:color w:val="000000"/>
                <w:szCs w:val="22"/>
              </w:rPr>
            </w:pPr>
            <w:r w:rsidRPr="00A67602">
              <w:rPr>
                <w:rFonts w:cs="Arial"/>
                <w:color w:val="000000"/>
                <w:szCs w:val="22"/>
              </w:rPr>
              <w:t>Pest Control</w:t>
            </w:r>
          </w:p>
        </w:tc>
        <w:tc>
          <w:tcPr>
            <w:tcW w:w="1169" w:type="dxa"/>
            <w:tcBorders>
              <w:top w:val="nil"/>
              <w:left w:val="nil"/>
              <w:bottom w:val="single" w:sz="4" w:space="0" w:color="BFBFBF"/>
              <w:right w:val="single" w:sz="4" w:space="0" w:color="BFBFBF"/>
            </w:tcBorders>
            <w:shd w:val="clear" w:color="auto" w:fill="auto"/>
            <w:noWrap/>
            <w:vAlign w:val="center"/>
            <w:hideMark/>
          </w:tcPr>
          <w:p w14:paraId="1370203D"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(44)</w:t>
            </w:r>
          </w:p>
        </w:tc>
        <w:tc>
          <w:tcPr>
            <w:tcW w:w="1169" w:type="dxa"/>
            <w:tcBorders>
              <w:top w:val="nil"/>
              <w:left w:val="nil"/>
              <w:bottom w:val="single" w:sz="4" w:space="0" w:color="BFBFBF"/>
              <w:right w:val="single" w:sz="4" w:space="0" w:color="BFBFBF"/>
            </w:tcBorders>
            <w:shd w:val="clear" w:color="auto" w:fill="auto"/>
            <w:noWrap/>
            <w:vAlign w:val="center"/>
            <w:hideMark/>
          </w:tcPr>
          <w:p w14:paraId="1370203E"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(39)</w:t>
            </w:r>
          </w:p>
        </w:tc>
        <w:tc>
          <w:tcPr>
            <w:tcW w:w="1169" w:type="dxa"/>
            <w:tcBorders>
              <w:top w:val="nil"/>
              <w:left w:val="nil"/>
              <w:bottom w:val="single" w:sz="4" w:space="0" w:color="BFBFBF"/>
              <w:right w:val="single" w:sz="4" w:space="0" w:color="BFBFBF"/>
            </w:tcBorders>
            <w:shd w:val="clear" w:color="auto" w:fill="auto"/>
            <w:noWrap/>
            <w:vAlign w:val="center"/>
            <w:hideMark/>
          </w:tcPr>
          <w:p w14:paraId="1370203F"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(39)</w:t>
            </w:r>
          </w:p>
        </w:tc>
        <w:tc>
          <w:tcPr>
            <w:tcW w:w="1170" w:type="dxa"/>
            <w:tcBorders>
              <w:top w:val="nil"/>
              <w:left w:val="nil"/>
              <w:bottom w:val="single" w:sz="4" w:space="0" w:color="BFBFBF"/>
              <w:right w:val="single" w:sz="4" w:space="0" w:color="auto"/>
            </w:tcBorders>
            <w:shd w:val="clear" w:color="auto" w:fill="auto"/>
            <w:noWrap/>
            <w:vAlign w:val="center"/>
            <w:hideMark/>
          </w:tcPr>
          <w:p w14:paraId="13702040"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 xml:space="preserve">-  </w:t>
            </w:r>
          </w:p>
        </w:tc>
      </w:tr>
      <w:tr w:rsidR="00632C2C" w:rsidRPr="00A67602" w14:paraId="13702047" w14:textId="77777777" w:rsidTr="00582F03">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13702042" w14:textId="77777777" w:rsidR="00632C2C" w:rsidRPr="00A67602" w:rsidRDefault="00632C2C" w:rsidP="009214E8">
            <w:pPr>
              <w:spacing w:line="240" w:lineRule="auto"/>
              <w:jc w:val="left"/>
              <w:rPr>
                <w:rFonts w:cs="Arial"/>
                <w:color w:val="000000"/>
                <w:szCs w:val="22"/>
              </w:rPr>
            </w:pPr>
            <w:r w:rsidRPr="00A67602">
              <w:rPr>
                <w:rFonts w:cs="Arial"/>
                <w:color w:val="000000"/>
                <w:szCs w:val="22"/>
              </w:rPr>
              <w:t>Property rental - Civic Centre</w:t>
            </w:r>
          </w:p>
        </w:tc>
        <w:tc>
          <w:tcPr>
            <w:tcW w:w="1169" w:type="dxa"/>
            <w:tcBorders>
              <w:top w:val="nil"/>
              <w:left w:val="nil"/>
              <w:bottom w:val="single" w:sz="4" w:space="0" w:color="BFBFBF"/>
              <w:right w:val="single" w:sz="4" w:space="0" w:color="BFBFBF"/>
            </w:tcBorders>
            <w:shd w:val="clear" w:color="auto" w:fill="auto"/>
            <w:noWrap/>
            <w:vAlign w:val="center"/>
            <w:hideMark/>
          </w:tcPr>
          <w:p w14:paraId="13702043"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(71)</w:t>
            </w:r>
          </w:p>
        </w:tc>
        <w:tc>
          <w:tcPr>
            <w:tcW w:w="1169" w:type="dxa"/>
            <w:tcBorders>
              <w:top w:val="nil"/>
              <w:left w:val="nil"/>
              <w:bottom w:val="single" w:sz="4" w:space="0" w:color="BFBFBF"/>
              <w:right w:val="single" w:sz="4" w:space="0" w:color="BFBFBF"/>
            </w:tcBorders>
            <w:shd w:val="clear" w:color="auto" w:fill="auto"/>
            <w:noWrap/>
            <w:vAlign w:val="center"/>
            <w:hideMark/>
          </w:tcPr>
          <w:p w14:paraId="13702044"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(50)</w:t>
            </w:r>
          </w:p>
        </w:tc>
        <w:tc>
          <w:tcPr>
            <w:tcW w:w="1169" w:type="dxa"/>
            <w:tcBorders>
              <w:top w:val="nil"/>
              <w:left w:val="nil"/>
              <w:bottom w:val="single" w:sz="4" w:space="0" w:color="BFBFBF"/>
              <w:right w:val="single" w:sz="4" w:space="0" w:color="BFBFBF"/>
            </w:tcBorders>
            <w:shd w:val="clear" w:color="auto" w:fill="auto"/>
            <w:noWrap/>
            <w:vAlign w:val="center"/>
            <w:hideMark/>
          </w:tcPr>
          <w:p w14:paraId="13702045"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(71)</w:t>
            </w:r>
          </w:p>
        </w:tc>
        <w:tc>
          <w:tcPr>
            <w:tcW w:w="1170" w:type="dxa"/>
            <w:tcBorders>
              <w:top w:val="nil"/>
              <w:left w:val="nil"/>
              <w:bottom w:val="single" w:sz="4" w:space="0" w:color="BFBFBF"/>
              <w:right w:val="single" w:sz="4" w:space="0" w:color="auto"/>
            </w:tcBorders>
            <w:shd w:val="clear" w:color="auto" w:fill="auto"/>
            <w:noWrap/>
            <w:vAlign w:val="center"/>
            <w:hideMark/>
          </w:tcPr>
          <w:p w14:paraId="13702046"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(21)</w:t>
            </w:r>
          </w:p>
        </w:tc>
      </w:tr>
      <w:tr w:rsidR="00632C2C" w:rsidRPr="00A67602" w14:paraId="1370204D" w14:textId="77777777" w:rsidTr="00582F03">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13702048" w14:textId="77777777" w:rsidR="00632C2C" w:rsidRPr="00A67602" w:rsidRDefault="00632C2C" w:rsidP="009214E8">
            <w:pPr>
              <w:spacing w:line="240" w:lineRule="auto"/>
              <w:jc w:val="left"/>
              <w:rPr>
                <w:rFonts w:cs="Arial"/>
                <w:color w:val="000000"/>
                <w:szCs w:val="22"/>
              </w:rPr>
            </w:pPr>
            <w:r w:rsidRPr="00A67602">
              <w:rPr>
                <w:rFonts w:cs="Arial"/>
                <w:color w:val="000000"/>
                <w:szCs w:val="22"/>
              </w:rPr>
              <w:t>Property rental - Market</w:t>
            </w:r>
          </w:p>
        </w:tc>
        <w:tc>
          <w:tcPr>
            <w:tcW w:w="1169" w:type="dxa"/>
            <w:tcBorders>
              <w:top w:val="nil"/>
              <w:left w:val="nil"/>
              <w:bottom w:val="single" w:sz="4" w:space="0" w:color="BFBFBF"/>
              <w:right w:val="single" w:sz="4" w:space="0" w:color="BFBFBF"/>
            </w:tcBorders>
            <w:shd w:val="clear" w:color="auto" w:fill="auto"/>
            <w:noWrap/>
            <w:vAlign w:val="center"/>
            <w:hideMark/>
          </w:tcPr>
          <w:p w14:paraId="13702049"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(139)</w:t>
            </w:r>
          </w:p>
        </w:tc>
        <w:tc>
          <w:tcPr>
            <w:tcW w:w="1169" w:type="dxa"/>
            <w:tcBorders>
              <w:top w:val="nil"/>
              <w:left w:val="nil"/>
              <w:bottom w:val="single" w:sz="4" w:space="0" w:color="BFBFBF"/>
              <w:right w:val="single" w:sz="4" w:space="0" w:color="BFBFBF"/>
            </w:tcBorders>
            <w:shd w:val="clear" w:color="auto" w:fill="auto"/>
            <w:noWrap/>
            <w:vAlign w:val="center"/>
            <w:hideMark/>
          </w:tcPr>
          <w:p w14:paraId="1370204A"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(142)</w:t>
            </w:r>
          </w:p>
        </w:tc>
        <w:tc>
          <w:tcPr>
            <w:tcW w:w="1169" w:type="dxa"/>
            <w:tcBorders>
              <w:top w:val="nil"/>
              <w:left w:val="nil"/>
              <w:bottom w:val="single" w:sz="4" w:space="0" w:color="BFBFBF"/>
              <w:right w:val="single" w:sz="4" w:space="0" w:color="BFBFBF"/>
            </w:tcBorders>
            <w:shd w:val="clear" w:color="auto" w:fill="auto"/>
            <w:noWrap/>
            <w:vAlign w:val="center"/>
            <w:hideMark/>
          </w:tcPr>
          <w:p w14:paraId="1370204B"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(142)</w:t>
            </w:r>
          </w:p>
        </w:tc>
        <w:tc>
          <w:tcPr>
            <w:tcW w:w="1170" w:type="dxa"/>
            <w:tcBorders>
              <w:top w:val="nil"/>
              <w:left w:val="nil"/>
              <w:bottom w:val="single" w:sz="4" w:space="0" w:color="BFBFBF"/>
              <w:right w:val="single" w:sz="4" w:space="0" w:color="auto"/>
            </w:tcBorders>
            <w:shd w:val="clear" w:color="auto" w:fill="auto"/>
            <w:noWrap/>
            <w:vAlign w:val="center"/>
            <w:hideMark/>
          </w:tcPr>
          <w:p w14:paraId="1370204C"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 xml:space="preserve">-  </w:t>
            </w:r>
          </w:p>
        </w:tc>
      </w:tr>
      <w:tr w:rsidR="00632C2C" w:rsidRPr="00A67602" w14:paraId="13702053" w14:textId="77777777" w:rsidTr="00582F03">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1370204E" w14:textId="77777777" w:rsidR="00632C2C" w:rsidRPr="00A67602" w:rsidRDefault="00632C2C" w:rsidP="009214E8">
            <w:pPr>
              <w:spacing w:line="240" w:lineRule="auto"/>
              <w:jc w:val="left"/>
              <w:rPr>
                <w:rFonts w:cs="Arial"/>
                <w:color w:val="000000"/>
                <w:szCs w:val="22"/>
              </w:rPr>
            </w:pPr>
            <w:r w:rsidRPr="00A67602">
              <w:rPr>
                <w:rFonts w:cs="Arial"/>
                <w:color w:val="000000"/>
                <w:szCs w:val="22"/>
              </w:rPr>
              <w:t>Property rental - Moss Side Depot</w:t>
            </w:r>
          </w:p>
        </w:tc>
        <w:tc>
          <w:tcPr>
            <w:tcW w:w="1169" w:type="dxa"/>
            <w:tcBorders>
              <w:top w:val="nil"/>
              <w:left w:val="nil"/>
              <w:bottom w:val="single" w:sz="4" w:space="0" w:color="BFBFBF"/>
              <w:right w:val="single" w:sz="4" w:space="0" w:color="BFBFBF"/>
            </w:tcBorders>
            <w:shd w:val="clear" w:color="auto" w:fill="auto"/>
            <w:noWrap/>
            <w:vAlign w:val="center"/>
            <w:hideMark/>
          </w:tcPr>
          <w:p w14:paraId="1370204F"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(13)</w:t>
            </w:r>
          </w:p>
        </w:tc>
        <w:tc>
          <w:tcPr>
            <w:tcW w:w="1169" w:type="dxa"/>
            <w:tcBorders>
              <w:top w:val="nil"/>
              <w:left w:val="nil"/>
              <w:bottom w:val="single" w:sz="4" w:space="0" w:color="BFBFBF"/>
              <w:right w:val="single" w:sz="4" w:space="0" w:color="BFBFBF"/>
            </w:tcBorders>
            <w:shd w:val="clear" w:color="auto" w:fill="auto"/>
            <w:noWrap/>
            <w:vAlign w:val="center"/>
            <w:hideMark/>
          </w:tcPr>
          <w:p w14:paraId="13702050"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(43)</w:t>
            </w:r>
          </w:p>
        </w:tc>
        <w:tc>
          <w:tcPr>
            <w:tcW w:w="1169" w:type="dxa"/>
            <w:tcBorders>
              <w:top w:val="nil"/>
              <w:left w:val="nil"/>
              <w:bottom w:val="single" w:sz="4" w:space="0" w:color="BFBFBF"/>
              <w:right w:val="single" w:sz="4" w:space="0" w:color="BFBFBF"/>
            </w:tcBorders>
            <w:shd w:val="clear" w:color="auto" w:fill="auto"/>
            <w:noWrap/>
            <w:vAlign w:val="center"/>
            <w:hideMark/>
          </w:tcPr>
          <w:p w14:paraId="13702051"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(44)</w:t>
            </w:r>
          </w:p>
        </w:tc>
        <w:tc>
          <w:tcPr>
            <w:tcW w:w="1170" w:type="dxa"/>
            <w:tcBorders>
              <w:top w:val="nil"/>
              <w:left w:val="nil"/>
              <w:bottom w:val="single" w:sz="4" w:space="0" w:color="BFBFBF"/>
              <w:right w:val="single" w:sz="4" w:space="0" w:color="auto"/>
            </w:tcBorders>
            <w:shd w:val="clear" w:color="auto" w:fill="auto"/>
            <w:noWrap/>
            <w:vAlign w:val="center"/>
            <w:hideMark/>
          </w:tcPr>
          <w:p w14:paraId="13702052" w14:textId="77777777" w:rsidR="00632C2C" w:rsidRPr="00A67602" w:rsidRDefault="00632C2C" w:rsidP="00EB6DD6">
            <w:pPr>
              <w:spacing w:line="240" w:lineRule="auto"/>
              <w:jc w:val="right"/>
              <w:rPr>
                <w:rFonts w:cs="Arial"/>
                <w:color w:val="000000"/>
                <w:szCs w:val="22"/>
              </w:rPr>
            </w:pPr>
            <w:r w:rsidRPr="00A67602">
              <w:rPr>
                <w:rFonts w:cs="Arial"/>
                <w:color w:val="000000"/>
                <w:szCs w:val="22"/>
              </w:rPr>
              <w:t>(</w:t>
            </w:r>
            <w:r w:rsidR="00EB6DD6">
              <w:rPr>
                <w:rFonts w:cs="Arial"/>
                <w:color w:val="000000"/>
                <w:szCs w:val="22"/>
              </w:rPr>
              <w:t>1</w:t>
            </w:r>
            <w:r w:rsidRPr="00A67602">
              <w:rPr>
                <w:rFonts w:cs="Arial"/>
                <w:color w:val="000000"/>
                <w:szCs w:val="22"/>
              </w:rPr>
              <w:t>)</w:t>
            </w:r>
          </w:p>
        </w:tc>
      </w:tr>
      <w:tr w:rsidR="00632C2C" w:rsidRPr="00A67602" w14:paraId="13702059" w14:textId="77777777" w:rsidTr="00582F03">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13702054" w14:textId="77777777" w:rsidR="00632C2C" w:rsidRPr="00A67602" w:rsidRDefault="00632C2C" w:rsidP="009214E8">
            <w:pPr>
              <w:spacing w:line="240" w:lineRule="auto"/>
              <w:jc w:val="left"/>
              <w:rPr>
                <w:rFonts w:cs="Arial"/>
                <w:color w:val="000000"/>
                <w:szCs w:val="22"/>
              </w:rPr>
            </w:pPr>
            <w:r w:rsidRPr="00A67602">
              <w:rPr>
                <w:rFonts w:cs="Arial"/>
                <w:color w:val="000000"/>
                <w:szCs w:val="22"/>
              </w:rPr>
              <w:t>Property rental - Worden Craft Centre</w:t>
            </w:r>
          </w:p>
        </w:tc>
        <w:tc>
          <w:tcPr>
            <w:tcW w:w="1169" w:type="dxa"/>
            <w:tcBorders>
              <w:top w:val="nil"/>
              <w:left w:val="nil"/>
              <w:bottom w:val="single" w:sz="4" w:space="0" w:color="BFBFBF"/>
              <w:right w:val="single" w:sz="4" w:space="0" w:color="BFBFBF"/>
            </w:tcBorders>
            <w:shd w:val="clear" w:color="auto" w:fill="auto"/>
            <w:noWrap/>
            <w:vAlign w:val="center"/>
            <w:hideMark/>
          </w:tcPr>
          <w:p w14:paraId="13702055"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(13)</w:t>
            </w:r>
          </w:p>
        </w:tc>
        <w:tc>
          <w:tcPr>
            <w:tcW w:w="1169" w:type="dxa"/>
            <w:tcBorders>
              <w:top w:val="nil"/>
              <w:left w:val="nil"/>
              <w:bottom w:val="single" w:sz="4" w:space="0" w:color="BFBFBF"/>
              <w:right w:val="single" w:sz="4" w:space="0" w:color="BFBFBF"/>
            </w:tcBorders>
            <w:shd w:val="clear" w:color="auto" w:fill="auto"/>
            <w:noWrap/>
            <w:vAlign w:val="center"/>
            <w:hideMark/>
          </w:tcPr>
          <w:p w14:paraId="13702056"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(15)</w:t>
            </w:r>
          </w:p>
        </w:tc>
        <w:tc>
          <w:tcPr>
            <w:tcW w:w="1169" w:type="dxa"/>
            <w:tcBorders>
              <w:top w:val="nil"/>
              <w:left w:val="nil"/>
              <w:bottom w:val="single" w:sz="4" w:space="0" w:color="BFBFBF"/>
              <w:right w:val="single" w:sz="4" w:space="0" w:color="BFBFBF"/>
            </w:tcBorders>
            <w:shd w:val="clear" w:color="auto" w:fill="auto"/>
            <w:noWrap/>
            <w:vAlign w:val="center"/>
            <w:hideMark/>
          </w:tcPr>
          <w:p w14:paraId="13702057"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(13)</w:t>
            </w:r>
          </w:p>
        </w:tc>
        <w:tc>
          <w:tcPr>
            <w:tcW w:w="1170" w:type="dxa"/>
            <w:tcBorders>
              <w:top w:val="nil"/>
              <w:left w:val="nil"/>
              <w:bottom w:val="single" w:sz="4" w:space="0" w:color="BFBFBF"/>
              <w:right w:val="single" w:sz="4" w:space="0" w:color="auto"/>
            </w:tcBorders>
            <w:shd w:val="clear" w:color="auto" w:fill="auto"/>
            <w:noWrap/>
            <w:vAlign w:val="center"/>
            <w:hideMark/>
          </w:tcPr>
          <w:p w14:paraId="13702058"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 xml:space="preserve">2 </w:t>
            </w:r>
          </w:p>
        </w:tc>
      </w:tr>
      <w:tr w:rsidR="00632C2C" w:rsidRPr="00A67602" w14:paraId="1370205F" w14:textId="77777777" w:rsidTr="00582F03">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1370205A" w14:textId="77777777" w:rsidR="00632C2C" w:rsidRPr="00A67602" w:rsidRDefault="00632C2C" w:rsidP="009214E8">
            <w:pPr>
              <w:spacing w:line="240" w:lineRule="auto"/>
              <w:jc w:val="left"/>
              <w:rPr>
                <w:rFonts w:cs="Arial"/>
                <w:color w:val="000000"/>
                <w:szCs w:val="22"/>
              </w:rPr>
            </w:pPr>
            <w:r w:rsidRPr="00A67602">
              <w:rPr>
                <w:rFonts w:cs="Arial"/>
                <w:color w:val="000000"/>
                <w:szCs w:val="22"/>
              </w:rPr>
              <w:t>Refuse Collection - Garden waste</w:t>
            </w:r>
          </w:p>
        </w:tc>
        <w:tc>
          <w:tcPr>
            <w:tcW w:w="1169" w:type="dxa"/>
            <w:tcBorders>
              <w:top w:val="nil"/>
              <w:left w:val="nil"/>
              <w:bottom w:val="single" w:sz="4" w:space="0" w:color="BFBFBF"/>
              <w:right w:val="single" w:sz="4" w:space="0" w:color="BFBFBF"/>
            </w:tcBorders>
            <w:shd w:val="clear" w:color="auto" w:fill="auto"/>
            <w:noWrap/>
            <w:vAlign w:val="center"/>
            <w:hideMark/>
          </w:tcPr>
          <w:p w14:paraId="1370205B"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(789)</w:t>
            </w:r>
          </w:p>
        </w:tc>
        <w:tc>
          <w:tcPr>
            <w:tcW w:w="1169" w:type="dxa"/>
            <w:tcBorders>
              <w:top w:val="nil"/>
              <w:left w:val="nil"/>
              <w:bottom w:val="single" w:sz="4" w:space="0" w:color="BFBFBF"/>
              <w:right w:val="single" w:sz="4" w:space="0" w:color="BFBFBF"/>
            </w:tcBorders>
            <w:shd w:val="clear" w:color="auto" w:fill="auto"/>
            <w:noWrap/>
            <w:vAlign w:val="center"/>
            <w:hideMark/>
          </w:tcPr>
          <w:p w14:paraId="1370205C"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(650)</w:t>
            </w:r>
          </w:p>
        </w:tc>
        <w:tc>
          <w:tcPr>
            <w:tcW w:w="1169" w:type="dxa"/>
            <w:tcBorders>
              <w:top w:val="nil"/>
              <w:left w:val="nil"/>
              <w:bottom w:val="single" w:sz="4" w:space="0" w:color="BFBFBF"/>
              <w:right w:val="single" w:sz="4" w:space="0" w:color="BFBFBF"/>
            </w:tcBorders>
            <w:shd w:val="clear" w:color="auto" w:fill="auto"/>
            <w:noWrap/>
            <w:vAlign w:val="center"/>
            <w:hideMark/>
          </w:tcPr>
          <w:p w14:paraId="1370205D"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(785)</w:t>
            </w:r>
          </w:p>
        </w:tc>
        <w:tc>
          <w:tcPr>
            <w:tcW w:w="1170" w:type="dxa"/>
            <w:tcBorders>
              <w:top w:val="nil"/>
              <w:left w:val="nil"/>
              <w:bottom w:val="single" w:sz="4" w:space="0" w:color="BFBFBF"/>
              <w:right w:val="single" w:sz="4" w:space="0" w:color="auto"/>
            </w:tcBorders>
            <w:shd w:val="clear" w:color="auto" w:fill="auto"/>
            <w:noWrap/>
            <w:vAlign w:val="center"/>
            <w:hideMark/>
          </w:tcPr>
          <w:p w14:paraId="1370205E"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(135)</w:t>
            </w:r>
          </w:p>
        </w:tc>
      </w:tr>
      <w:tr w:rsidR="00632C2C" w:rsidRPr="00A67602" w14:paraId="13702065" w14:textId="77777777" w:rsidTr="00582F03">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13702060" w14:textId="77777777" w:rsidR="00632C2C" w:rsidRPr="00A67602" w:rsidRDefault="00632C2C" w:rsidP="009214E8">
            <w:pPr>
              <w:spacing w:line="240" w:lineRule="auto"/>
              <w:jc w:val="left"/>
              <w:rPr>
                <w:rFonts w:cs="Arial"/>
                <w:color w:val="000000"/>
                <w:szCs w:val="22"/>
              </w:rPr>
            </w:pPr>
            <w:r w:rsidRPr="00A67602">
              <w:rPr>
                <w:rFonts w:cs="Arial"/>
                <w:color w:val="000000"/>
                <w:szCs w:val="22"/>
              </w:rPr>
              <w:t>Refuse Collection - New bins</w:t>
            </w:r>
          </w:p>
        </w:tc>
        <w:tc>
          <w:tcPr>
            <w:tcW w:w="1169" w:type="dxa"/>
            <w:tcBorders>
              <w:top w:val="nil"/>
              <w:left w:val="nil"/>
              <w:bottom w:val="single" w:sz="4" w:space="0" w:color="BFBFBF"/>
              <w:right w:val="single" w:sz="4" w:space="0" w:color="BFBFBF"/>
            </w:tcBorders>
            <w:shd w:val="clear" w:color="auto" w:fill="auto"/>
            <w:noWrap/>
            <w:vAlign w:val="center"/>
            <w:hideMark/>
          </w:tcPr>
          <w:p w14:paraId="13702061"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(46)</w:t>
            </w:r>
          </w:p>
        </w:tc>
        <w:tc>
          <w:tcPr>
            <w:tcW w:w="1169" w:type="dxa"/>
            <w:tcBorders>
              <w:top w:val="nil"/>
              <w:left w:val="nil"/>
              <w:bottom w:val="single" w:sz="4" w:space="0" w:color="BFBFBF"/>
              <w:right w:val="single" w:sz="4" w:space="0" w:color="BFBFBF"/>
            </w:tcBorders>
            <w:shd w:val="clear" w:color="auto" w:fill="auto"/>
            <w:noWrap/>
            <w:vAlign w:val="center"/>
            <w:hideMark/>
          </w:tcPr>
          <w:p w14:paraId="13702062"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(65)</w:t>
            </w:r>
          </w:p>
        </w:tc>
        <w:tc>
          <w:tcPr>
            <w:tcW w:w="1169" w:type="dxa"/>
            <w:tcBorders>
              <w:top w:val="nil"/>
              <w:left w:val="nil"/>
              <w:bottom w:val="single" w:sz="4" w:space="0" w:color="BFBFBF"/>
              <w:right w:val="single" w:sz="4" w:space="0" w:color="BFBFBF"/>
            </w:tcBorders>
            <w:shd w:val="clear" w:color="auto" w:fill="auto"/>
            <w:noWrap/>
            <w:vAlign w:val="center"/>
            <w:hideMark/>
          </w:tcPr>
          <w:p w14:paraId="13702063" w14:textId="77777777" w:rsidR="00632C2C" w:rsidRPr="00A67602" w:rsidRDefault="00632C2C" w:rsidP="00154379">
            <w:pPr>
              <w:spacing w:line="240" w:lineRule="auto"/>
              <w:jc w:val="right"/>
              <w:rPr>
                <w:rFonts w:cs="Arial"/>
                <w:color w:val="000000"/>
                <w:szCs w:val="22"/>
              </w:rPr>
            </w:pPr>
            <w:r w:rsidRPr="00A67602">
              <w:rPr>
                <w:rFonts w:cs="Arial"/>
                <w:color w:val="000000"/>
                <w:szCs w:val="22"/>
              </w:rPr>
              <w:t>(</w:t>
            </w:r>
            <w:r w:rsidR="00154379">
              <w:rPr>
                <w:rFonts w:cs="Arial"/>
                <w:color w:val="000000"/>
                <w:szCs w:val="22"/>
              </w:rPr>
              <w:t>65</w:t>
            </w:r>
            <w:r w:rsidRPr="00A67602">
              <w:rPr>
                <w:rFonts w:cs="Arial"/>
                <w:color w:val="000000"/>
                <w:szCs w:val="22"/>
              </w:rPr>
              <w:t>)</w:t>
            </w:r>
          </w:p>
        </w:tc>
        <w:tc>
          <w:tcPr>
            <w:tcW w:w="1170" w:type="dxa"/>
            <w:tcBorders>
              <w:top w:val="nil"/>
              <w:left w:val="nil"/>
              <w:bottom w:val="single" w:sz="4" w:space="0" w:color="BFBFBF"/>
              <w:right w:val="single" w:sz="4" w:space="0" w:color="auto"/>
            </w:tcBorders>
            <w:shd w:val="clear" w:color="auto" w:fill="auto"/>
            <w:noWrap/>
            <w:vAlign w:val="center"/>
            <w:hideMark/>
          </w:tcPr>
          <w:p w14:paraId="13702064" w14:textId="77777777" w:rsidR="00632C2C" w:rsidRPr="00A67602" w:rsidRDefault="00154379" w:rsidP="00154379">
            <w:pPr>
              <w:spacing w:line="240" w:lineRule="auto"/>
              <w:jc w:val="right"/>
              <w:rPr>
                <w:rFonts w:cs="Arial"/>
                <w:color w:val="000000"/>
                <w:szCs w:val="22"/>
              </w:rPr>
            </w:pPr>
            <w:r>
              <w:rPr>
                <w:rFonts w:cs="Arial"/>
                <w:color w:val="000000"/>
                <w:szCs w:val="22"/>
              </w:rPr>
              <w:t>-</w:t>
            </w:r>
          </w:p>
        </w:tc>
      </w:tr>
      <w:tr w:rsidR="00632C2C" w:rsidRPr="00A67602" w14:paraId="1370206B" w14:textId="77777777" w:rsidTr="00582F03">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13702066" w14:textId="77777777" w:rsidR="00632C2C" w:rsidRPr="00A67602" w:rsidRDefault="00632C2C" w:rsidP="009214E8">
            <w:pPr>
              <w:spacing w:line="240" w:lineRule="auto"/>
              <w:jc w:val="left"/>
              <w:rPr>
                <w:rFonts w:cs="Arial"/>
                <w:color w:val="000000"/>
                <w:szCs w:val="22"/>
              </w:rPr>
            </w:pPr>
            <w:r w:rsidRPr="00A67602">
              <w:rPr>
                <w:rFonts w:cs="Arial"/>
                <w:color w:val="000000"/>
                <w:szCs w:val="22"/>
              </w:rPr>
              <w:t>Refuse Collection - Special collections</w:t>
            </w:r>
          </w:p>
        </w:tc>
        <w:tc>
          <w:tcPr>
            <w:tcW w:w="1169" w:type="dxa"/>
            <w:tcBorders>
              <w:top w:val="nil"/>
              <w:left w:val="nil"/>
              <w:bottom w:val="single" w:sz="4" w:space="0" w:color="BFBFBF"/>
              <w:right w:val="single" w:sz="4" w:space="0" w:color="BFBFBF"/>
            </w:tcBorders>
            <w:shd w:val="clear" w:color="auto" w:fill="auto"/>
            <w:noWrap/>
            <w:vAlign w:val="center"/>
            <w:hideMark/>
          </w:tcPr>
          <w:p w14:paraId="13702067"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(41)</w:t>
            </w:r>
          </w:p>
        </w:tc>
        <w:tc>
          <w:tcPr>
            <w:tcW w:w="1169" w:type="dxa"/>
            <w:tcBorders>
              <w:top w:val="nil"/>
              <w:left w:val="nil"/>
              <w:bottom w:val="single" w:sz="4" w:space="0" w:color="BFBFBF"/>
              <w:right w:val="single" w:sz="4" w:space="0" w:color="BFBFBF"/>
            </w:tcBorders>
            <w:shd w:val="clear" w:color="auto" w:fill="auto"/>
            <w:noWrap/>
            <w:vAlign w:val="center"/>
            <w:hideMark/>
          </w:tcPr>
          <w:p w14:paraId="13702068"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(40)</w:t>
            </w:r>
          </w:p>
        </w:tc>
        <w:tc>
          <w:tcPr>
            <w:tcW w:w="1169" w:type="dxa"/>
            <w:tcBorders>
              <w:top w:val="nil"/>
              <w:left w:val="nil"/>
              <w:bottom w:val="single" w:sz="4" w:space="0" w:color="BFBFBF"/>
              <w:right w:val="single" w:sz="4" w:space="0" w:color="BFBFBF"/>
            </w:tcBorders>
            <w:shd w:val="clear" w:color="auto" w:fill="auto"/>
            <w:noWrap/>
            <w:vAlign w:val="center"/>
            <w:hideMark/>
          </w:tcPr>
          <w:p w14:paraId="13702069"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(27)</w:t>
            </w:r>
          </w:p>
        </w:tc>
        <w:tc>
          <w:tcPr>
            <w:tcW w:w="1170" w:type="dxa"/>
            <w:tcBorders>
              <w:top w:val="nil"/>
              <w:left w:val="nil"/>
              <w:bottom w:val="single" w:sz="4" w:space="0" w:color="BFBFBF"/>
              <w:right w:val="single" w:sz="4" w:space="0" w:color="auto"/>
            </w:tcBorders>
            <w:shd w:val="clear" w:color="auto" w:fill="auto"/>
            <w:noWrap/>
            <w:vAlign w:val="center"/>
            <w:hideMark/>
          </w:tcPr>
          <w:p w14:paraId="1370206A"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 xml:space="preserve">13 </w:t>
            </w:r>
          </w:p>
        </w:tc>
      </w:tr>
      <w:tr w:rsidR="00632C2C" w:rsidRPr="00A67602" w14:paraId="13702071" w14:textId="77777777" w:rsidTr="00582F03">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1370206C" w14:textId="77777777" w:rsidR="00632C2C" w:rsidRPr="00A67602" w:rsidRDefault="00632C2C" w:rsidP="009214E8">
            <w:pPr>
              <w:spacing w:line="240" w:lineRule="auto"/>
              <w:jc w:val="left"/>
              <w:rPr>
                <w:rFonts w:cs="Arial"/>
                <w:color w:val="000000"/>
                <w:szCs w:val="22"/>
              </w:rPr>
            </w:pPr>
            <w:r w:rsidRPr="00A67602">
              <w:rPr>
                <w:rFonts w:cs="Arial"/>
                <w:color w:val="000000"/>
                <w:szCs w:val="22"/>
              </w:rPr>
              <w:t>Refuse Collection - Trade Waste</w:t>
            </w:r>
          </w:p>
        </w:tc>
        <w:tc>
          <w:tcPr>
            <w:tcW w:w="1169" w:type="dxa"/>
            <w:tcBorders>
              <w:top w:val="nil"/>
              <w:left w:val="nil"/>
              <w:bottom w:val="single" w:sz="4" w:space="0" w:color="BFBFBF"/>
              <w:right w:val="single" w:sz="4" w:space="0" w:color="BFBFBF"/>
            </w:tcBorders>
            <w:shd w:val="clear" w:color="auto" w:fill="auto"/>
            <w:noWrap/>
            <w:vAlign w:val="center"/>
            <w:hideMark/>
          </w:tcPr>
          <w:p w14:paraId="1370206D"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(460)</w:t>
            </w:r>
          </w:p>
        </w:tc>
        <w:tc>
          <w:tcPr>
            <w:tcW w:w="1169" w:type="dxa"/>
            <w:tcBorders>
              <w:top w:val="nil"/>
              <w:left w:val="nil"/>
              <w:bottom w:val="single" w:sz="4" w:space="0" w:color="BFBFBF"/>
              <w:right w:val="single" w:sz="4" w:space="0" w:color="BFBFBF"/>
            </w:tcBorders>
            <w:shd w:val="clear" w:color="auto" w:fill="auto"/>
            <w:noWrap/>
            <w:vAlign w:val="center"/>
            <w:hideMark/>
          </w:tcPr>
          <w:p w14:paraId="1370206E"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(477)</w:t>
            </w:r>
          </w:p>
        </w:tc>
        <w:tc>
          <w:tcPr>
            <w:tcW w:w="1169" w:type="dxa"/>
            <w:tcBorders>
              <w:top w:val="nil"/>
              <w:left w:val="nil"/>
              <w:bottom w:val="single" w:sz="4" w:space="0" w:color="BFBFBF"/>
              <w:right w:val="single" w:sz="4" w:space="0" w:color="BFBFBF"/>
            </w:tcBorders>
            <w:shd w:val="clear" w:color="auto" w:fill="auto"/>
            <w:noWrap/>
            <w:vAlign w:val="center"/>
            <w:hideMark/>
          </w:tcPr>
          <w:p w14:paraId="1370206F"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(457)</w:t>
            </w:r>
          </w:p>
        </w:tc>
        <w:tc>
          <w:tcPr>
            <w:tcW w:w="1170" w:type="dxa"/>
            <w:tcBorders>
              <w:top w:val="nil"/>
              <w:left w:val="nil"/>
              <w:bottom w:val="single" w:sz="4" w:space="0" w:color="BFBFBF"/>
              <w:right w:val="single" w:sz="4" w:space="0" w:color="auto"/>
            </w:tcBorders>
            <w:shd w:val="clear" w:color="auto" w:fill="auto"/>
            <w:noWrap/>
            <w:vAlign w:val="center"/>
            <w:hideMark/>
          </w:tcPr>
          <w:p w14:paraId="13702070"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 xml:space="preserve">20 </w:t>
            </w:r>
          </w:p>
        </w:tc>
      </w:tr>
      <w:tr w:rsidR="00632C2C" w:rsidRPr="00A67602" w14:paraId="13702077" w14:textId="77777777" w:rsidTr="00582F03">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13702072" w14:textId="77777777" w:rsidR="00632C2C" w:rsidRPr="00A67602" w:rsidRDefault="00632C2C" w:rsidP="00AD336E">
            <w:pPr>
              <w:spacing w:line="240" w:lineRule="auto"/>
              <w:jc w:val="left"/>
              <w:rPr>
                <w:rFonts w:cs="Arial"/>
                <w:color w:val="000000"/>
                <w:szCs w:val="22"/>
              </w:rPr>
            </w:pPr>
            <w:r w:rsidRPr="00A67602">
              <w:rPr>
                <w:rFonts w:cs="Arial"/>
                <w:color w:val="000000"/>
                <w:szCs w:val="22"/>
              </w:rPr>
              <w:t xml:space="preserve">Vehicle Maintenance </w:t>
            </w:r>
            <w:r w:rsidR="00AD336E">
              <w:rPr>
                <w:rFonts w:cs="Arial"/>
                <w:color w:val="000000"/>
                <w:szCs w:val="22"/>
              </w:rPr>
              <w:t xml:space="preserve">contract </w:t>
            </w:r>
          </w:p>
        </w:tc>
        <w:tc>
          <w:tcPr>
            <w:tcW w:w="1169" w:type="dxa"/>
            <w:tcBorders>
              <w:top w:val="nil"/>
              <w:left w:val="nil"/>
              <w:bottom w:val="single" w:sz="4" w:space="0" w:color="BFBFBF"/>
              <w:right w:val="single" w:sz="4" w:space="0" w:color="BFBFBF"/>
            </w:tcBorders>
            <w:shd w:val="clear" w:color="auto" w:fill="auto"/>
            <w:noWrap/>
            <w:vAlign w:val="center"/>
            <w:hideMark/>
          </w:tcPr>
          <w:p w14:paraId="13702073" w14:textId="77777777" w:rsidR="00632C2C" w:rsidRPr="00A67602" w:rsidRDefault="00031B88" w:rsidP="00031B88">
            <w:pPr>
              <w:spacing w:line="240" w:lineRule="auto"/>
              <w:jc w:val="right"/>
              <w:rPr>
                <w:rFonts w:cs="Arial"/>
                <w:color w:val="000000"/>
                <w:szCs w:val="22"/>
              </w:rPr>
            </w:pPr>
            <w:r>
              <w:rPr>
                <w:rFonts w:cs="Arial"/>
                <w:color w:val="000000"/>
                <w:szCs w:val="22"/>
              </w:rPr>
              <w:t>0</w:t>
            </w:r>
          </w:p>
        </w:tc>
        <w:tc>
          <w:tcPr>
            <w:tcW w:w="1169" w:type="dxa"/>
            <w:tcBorders>
              <w:top w:val="nil"/>
              <w:left w:val="nil"/>
              <w:bottom w:val="single" w:sz="4" w:space="0" w:color="BFBFBF"/>
              <w:right w:val="single" w:sz="4" w:space="0" w:color="BFBFBF"/>
            </w:tcBorders>
            <w:shd w:val="clear" w:color="auto" w:fill="auto"/>
            <w:noWrap/>
            <w:vAlign w:val="center"/>
            <w:hideMark/>
          </w:tcPr>
          <w:p w14:paraId="13702074" w14:textId="77777777" w:rsidR="00632C2C" w:rsidRPr="00A67602" w:rsidRDefault="00632C2C" w:rsidP="00031B88">
            <w:pPr>
              <w:spacing w:line="240" w:lineRule="auto"/>
              <w:jc w:val="right"/>
              <w:rPr>
                <w:rFonts w:cs="Arial"/>
                <w:color w:val="000000"/>
                <w:szCs w:val="22"/>
              </w:rPr>
            </w:pPr>
            <w:r w:rsidRPr="00A67602">
              <w:rPr>
                <w:rFonts w:cs="Arial"/>
                <w:color w:val="000000"/>
                <w:szCs w:val="22"/>
              </w:rPr>
              <w:t>(</w:t>
            </w:r>
            <w:r w:rsidR="00031B88">
              <w:rPr>
                <w:rFonts w:cs="Arial"/>
                <w:color w:val="000000"/>
                <w:szCs w:val="22"/>
              </w:rPr>
              <w:t>13</w:t>
            </w:r>
            <w:r w:rsidRPr="00A67602">
              <w:rPr>
                <w:rFonts w:cs="Arial"/>
                <w:color w:val="000000"/>
                <w:szCs w:val="22"/>
              </w:rPr>
              <w:t>)</w:t>
            </w:r>
          </w:p>
        </w:tc>
        <w:tc>
          <w:tcPr>
            <w:tcW w:w="1169" w:type="dxa"/>
            <w:tcBorders>
              <w:top w:val="nil"/>
              <w:left w:val="nil"/>
              <w:bottom w:val="single" w:sz="4" w:space="0" w:color="BFBFBF"/>
              <w:right w:val="single" w:sz="4" w:space="0" w:color="BFBFBF"/>
            </w:tcBorders>
            <w:shd w:val="clear" w:color="auto" w:fill="auto"/>
            <w:noWrap/>
            <w:vAlign w:val="center"/>
            <w:hideMark/>
          </w:tcPr>
          <w:p w14:paraId="13702075"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w:t>
            </w:r>
            <w:r w:rsidR="00031B88">
              <w:rPr>
                <w:rFonts w:cs="Arial"/>
                <w:color w:val="000000"/>
                <w:szCs w:val="22"/>
              </w:rPr>
              <w:t>1</w:t>
            </w:r>
            <w:r w:rsidRPr="00A67602">
              <w:rPr>
                <w:rFonts w:cs="Arial"/>
                <w:color w:val="000000"/>
                <w:szCs w:val="22"/>
              </w:rPr>
              <w:t>36)</w:t>
            </w:r>
          </w:p>
        </w:tc>
        <w:tc>
          <w:tcPr>
            <w:tcW w:w="1170" w:type="dxa"/>
            <w:tcBorders>
              <w:top w:val="nil"/>
              <w:left w:val="nil"/>
              <w:bottom w:val="single" w:sz="4" w:space="0" w:color="BFBFBF"/>
              <w:right w:val="single" w:sz="4" w:space="0" w:color="auto"/>
            </w:tcBorders>
            <w:shd w:val="clear" w:color="auto" w:fill="auto"/>
            <w:noWrap/>
            <w:vAlign w:val="center"/>
            <w:hideMark/>
          </w:tcPr>
          <w:p w14:paraId="13702076" w14:textId="77777777" w:rsidR="00632C2C" w:rsidRPr="00A67602" w:rsidRDefault="00632C2C" w:rsidP="00031B88">
            <w:pPr>
              <w:spacing w:line="240" w:lineRule="auto"/>
              <w:jc w:val="right"/>
              <w:rPr>
                <w:rFonts w:cs="Arial"/>
                <w:color w:val="000000"/>
                <w:szCs w:val="22"/>
              </w:rPr>
            </w:pPr>
            <w:r w:rsidRPr="00A67602">
              <w:rPr>
                <w:rFonts w:cs="Arial"/>
                <w:color w:val="000000"/>
                <w:szCs w:val="22"/>
              </w:rPr>
              <w:t>(</w:t>
            </w:r>
            <w:r w:rsidR="00031B88">
              <w:rPr>
                <w:rFonts w:cs="Arial"/>
                <w:color w:val="000000"/>
                <w:szCs w:val="22"/>
              </w:rPr>
              <w:t>123</w:t>
            </w:r>
            <w:r w:rsidRPr="00A67602">
              <w:rPr>
                <w:rFonts w:cs="Arial"/>
                <w:color w:val="000000"/>
                <w:szCs w:val="22"/>
              </w:rPr>
              <w:t>)</w:t>
            </w:r>
          </w:p>
        </w:tc>
      </w:tr>
      <w:tr w:rsidR="00632C2C" w:rsidRPr="00017022" w14:paraId="1370207D" w14:textId="77777777" w:rsidTr="00582F03">
        <w:trPr>
          <w:trHeight w:val="284"/>
        </w:trPr>
        <w:tc>
          <w:tcPr>
            <w:tcW w:w="4536" w:type="dxa"/>
            <w:tcBorders>
              <w:top w:val="nil"/>
              <w:left w:val="single" w:sz="4" w:space="0" w:color="auto"/>
              <w:bottom w:val="nil"/>
              <w:right w:val="nil"/>
            </w:tcBorders>
            <w:shd w:val="clear" w:color="auto" w:fill="auto"/>
            <w:noWrap/>
            <w:vAlign w:val="center"/>
            <w:hideMark/>
          </w:tcPr>
          <w:p w14:paraId="13702078" w14:textId="77777777" w:rsidR="00632C2C" w:rsidRPr="00017022" w:rsidRDefault="00632C2C" w:rsidP="00E12977">
            <w:pPr>
              <w:spacing w:before="120" w:line="240" w:lineRule="auto"/>
              <w:jc w:val="left"/>
              <w:rPr>
                <w:rFonts w:cs="Arial"/>
                <w:b/>
                <w:bCs/>
                <w:szCs w:val="22"/>
              </w:rPr>
            </w:pPr>
            <w:r w:rsidRPr="00017022">
              <w:rPr>
                <w:rFonts w:cs="Arial"/>
                <w:b/>
                <w:bCs/>
                <w:szCs w:val="22"/>
              </w:rPr>
              <w:t>Planning &amp; Property</w:t>
            </w:r>
          </w:p>
        </w:tc>
        <w:tc>
          <w:tcPr>
            <w:tcW w:w="1169" w:type="dxa"/>
            <w:tcBorders>
              <w:top w:val="nil"/>
              <w:left w:val="nil"/>
              <w:bottom w:val="nil"/>
              <w:right w:val="nil"/>
            </w:tcBorders>
            <w:shd w:val="clear" w:color="auto" w:fill="auto"/>
            <w:noWrap/>
            <w:vAlign w:val="center"/>
            <w:hideMark/>
          </w:tcPr>
          <w:p w14:paraId="13702079" w14:textId="77777777" w:rsidR="00632C2C" w:rsidRPr="00017022" w:rsidRDefault="00632C2C" w:rsidP="009214E8">
            <w:pPr>
              <w:spacing w:line="240" w:lineRule="auto"/>
              <w:jc w:val="left"/>
              <w:rPr>
                <w:rFonts w:cs="Arial"/>
                <w:b/>
                <w:bCs/>
                <w:szCs w:val="22"/>
              </w:rPr>
            </w:pPr>
          </w:p>
        </w:tc>
        <w:tc>
          <w:tcPr>
            <w:tcW w:w="1169" w:type="dxa"/>
            <w:tcBorders>
              <w:top w:val="nil"/>
              <w:left w:val="nil"/>
              <w:bottom w:val="nil"/>
              <w:right w:val="nil"/>
            </w:tcBorders>
            <w:shd w:val="clear" w:color="auto" w:fill="auto"/>
            <w:noWrap/>
            <w:vAlign w:val="center"/>
            <w:hideMark/>
          </w:tcPr>
          <w:p w14:paraId="1370207A" w14:textId="77777777" w:rsidR="00632C2C" w:rsidRPr="00017022" w:rsidRDefault="00632C2C" w:rsidP="009214E8">
            <w:pPr>
              <w:spacing w:line="240" w:lineRule="auto"/>
              <w:jc w:val="right"/>
              <w:rPr>
                <w:rFonts w:cs="Arial"/>
                <w:sz w:val="20"/>
              </w:rPr>
            </w:pPr>
          </w:p>
        </w:tc>
        <w:tc>
          <w:tcPr>
            <w:tcW w:w="1169" w:type="dxa"/>
            <w:tcBorders>
              <w:top w:val="nil"/>
              <w:left w:val="nil"/>
              <w:bottom w:val="nil"/>
              <w:right w:val="nil"/>
            </w:tcBorders>
            <w:shd w:val="clear" w:color="auto" w:fill="auto"/>
            <w:noWrap/>
            <w:vAlign w:val="center"/>
            <w:hideMark/>
          </w:tcPr>
          <w:p w14:paraId="1370207B" w14:textId="77777777" w:rsidR="00632C2C" w:rsidRPr="00017022" w:rsidRDefault="00632C2C" w:rsidP="009214E8">
            <w:pPr>
              <w:spacing w:line="240" w:lineRule="auto"/>
              <w:jc w:val="right"/>
              <w:rPr>
                <w:rFonts w:cs="Arial"/>
                <w:sz w:val="20"/>
              </w:rPr>
            </w:pPr>
          </w:p>
        </w:tc>
        <w:tc>
          <w:tcPr>
            <w:tcW w:w="1170" w:type="dxa"/>
            <w:tcBorders>
              <w:top w:val="nil"/>
              <w:left w:val="nil"/>
              <w:bottom w:val="nil"/>
              <w:right w:val="single" w:sz="4" w:space="0" w:color="auto"/>
            </w:tcBorders>
            <w:shd w:val="clear" w:color="auto" w:fill="auto"/>
            <w:noWrap/>
            <w:vAlign w:val="center"/>
            <w:hideMark/>
          </w:tcPr>
          <w:p w14:paraId="1370207C" w14:textId="77777777" w:rsidR="00632C2C" w:rsidRPr="00017022" w:rsidRDefault="00632C2C" w:rsidP="009214E8">
            <w:pPr>
              <w:spacing w:line="240" w:lineRule="auto"/>
              <w:jc w:val="right"/>
              <w:rPr>
                <w:rFonts w:cs="Arial"/>
                <w:sz w:val="20"/>
              </w:rPr>
            </w:pPr>
          </w:p>
        </w:tc>
      </w:tr>
      <w:tr w:rsidR="00632C2C" w:rsidRPr="00A67602" w14:paraId="13702083" w14:textId="77777777" w:rsidTr="00582F03">
        <w:trPr>
          <w:trHeight w:val="284"/>
        </w:trPr>
        <w:tc>
          <w:tcPr>
            <w:tcW w:w="4536"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1370207E" w14:textId="77777777" w:rsidR="00632C2C" w:rsidRPr="00A67602" w:rsidRDefault="00632C2C" w:rsidP="009214E8">
            <w:pPr>
              <w:spacing w:line="240" w:lineRule="auto"/>
              <w:jc w:val="left"/>
              <w:rPr>
                <w:rFonts w:cs="Arial"/>
                <w:color w:val="000000"/>
                <w:szCs w:val="22"/>
              </w:rPr>
            </w:pPr>
            <w:r w:rsidRPr="00A67602">
              <w:rPr>
                <w:rFonts w:cs="Arial"/>
                <w:color w:val="000000"/>
                <w:szCs w:val="22"/>
              </w:rPr>
              <w:t>Building Control</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1370207F"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(221)</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13702080"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(191)</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13702081"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(191)</w:t>
            </w:r>
          </w:p>
        </w:tc>
        <w:tc>
          <w:tcPr>
            <w:tcW w:w="1170" w:type="dxa"/>
            <w:tcBorders>
              <w:top w:val="single" w:sz="4" w:space="0" w:color="BFBFBF"/>
              <w:left w:val="nil"/>
              <w:bottom w:val="single" w:sz="4" w:space="0" w:color="BFBFBF"/>
              <w:right w:val="single" w:sz="4" w:space="0" w:color="auto"/>
            </w:tcBorders>
            <w:shd w:val="clear" w:color="auto" w:fill="auto"/>
            <w:noWrap/>
            <w:vAlign w:val="center"/>
            <w:hideMark/>
          </w:tcPr>
          <w:p w14:paraId="13702082"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 xml:space="preserve">-  </w:t>
            </w:r>
          </w:p>
        </w:tc>
      </w:tr>
      <w:tr w:rsidR="00632C2C" w:rsidRPr="00A67602" w14:paraId="13702089" w14:textId="77777777" w:rsidTr="00582F03">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13702084" w14:textId="77777777" w:rsidR="00632C2C" w:rsidRPr="00A67602" w:rsidRDefault="00632C2C" w:rsidP="009214E8">
            <w:pPr>
              <w:spacing w:line="240" w:lineRule="auto"/>
              <w:jc w:val="left"/>
              <w:rPr>
                <w:rFonts w:cs="Arial"/>
                <w:color w:val="000000"/>
                <w:szCs w:val="22"/>
              </w:rPr>
            </w:pPr>
            <w:r w:rsidRPr="00A67602">
              <w:rPr>
                <w:rFonts w:cs="Arial"/>
                <w:color w:val="000000"/>
                <w:szCs w:val="22"/>
              </w:rPr>
              <w:t>Planning application fees</w:t>
            </w:r>
          </w:p>
        </w:tc>
        <w:tc>
          <w:tcPr>
            <w:tcW w:w="1169" w:type="dxa"/>
            <w:tcBorders>
              <w:top w:val="nil"/>
              <w:left w:val="nil"/>
              <w:bottom w:val="single" w:sz="4" w:space="0" w:color="BFBFBF"/>
              <w:right w:val="single" w:sz="4" w:space="0" w:color="BFBFBF"/>
            </w:tcBorders>
            <w:shd w:val="clear" w:color="auto" w:fill="auto"/>
            <w:noWrap/>
            <w:vAlign w:val="center"/>
            <w:hideMark/>
          </w:tcPr>
          <w:p w14:paraId="13702085"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(456)</w:t>
            </w:r>
          </w:p>
        </w:tc>
        <w:tc>
          <w:tcPr>
            <w:tcW w:w="1169" w:type="dxa"/>
            <w:tcBorders>
              <w:top w:val="nil"/>
              <w:left w:val="nil"/>
              <w:bottom w:val="single" w:sz="4" w:space="0" w:color="BFBFBF"/>
              <w:right w:val="single" w:sz="4" w:space="0" w:color="BFBFBF"/>
            </w:tcBorders>
            <w:shd w:val="clear" w:color="auto" w:fill="auto"/>
            <w:noWrap/>
            <w:vAlign w:val="center"/>
            <w:hideMark/>
          </w:tcPr>
          <w:p w14:paraId="13702086"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(512)</w:t>
            </w:r>
          </w:p>
        </w:tc>
        <w:tc>
          <w:tcPr>
            <w:tcW w:w="1169" w:type="dxa"/>
            <w:tcBorders>
              <w:top w:val="nil"/>
              <w:left w:val="nil"/>
              <w:bottom w:val="single" w:sz="4" w:space="0" w:color="BFBFBF"/>
              <w:right w:val="single" w:sz="4" w:space="0" w:color="BFBFBF"/>
            </w:tcBorders>
            <w:shd w:val="clear" w:color="auto" w:fill="auto"/>
            <w:noWrap/>
            <w:vAlign w:val="center"/>
            <w:hideMark/>
          </w:tcPr>
          <w:p w14:paraId="13702087"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(512)</w:t>
            </w:r>
          </w:p>
        </w:tc>
        <w:tc>
          <w:tcPr>
            <w:tcW w:w="1170" w:type="dxa"/>
            <w:tcBorders>
              <w:top w:val="nil"/>
              <w:left w:val="nil"/>
              <w:bottom w:val="single" w:sz="4" w:space="0" w:color="BFBFBF"/>
              <w:right w:val="single" w:sz="4" w:space="0" w:color="auto"/>
            </w:tcBorders>
            <w:shd w:val="clear" w:color="auto" w:fill="auto"/>
            <w:noWrap/>
            <w:vAlign w:val="center"/>
            <w:hideMark/>
          </w:tcPr>
          <w:p w14:paraId="13702088"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 xml:space="preserve">-  </w:t>
            </w:r>
          </w:p>
        </w:tc>
      </w:tr>
      <w:tr w:rsidR="00632C2C" w:rsidRPr="00A67602" w14:paraId="1370208F" w14:textId="77777777" w:rsidTr="00582F03">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1370208A" w14:textId="77777777" w:rsidR="00632C2C" w:rsidRPr="00A67602" w:rsidRDefault="00632C2C" w:rsidP="009214E8">
            <w:pPr>
              <w:spacing w:line="240" w:lineRule="auto"/>
              <w:jc w:val="left"/>
              <w:rPr>
                <w:rFonts w:cs="Arial"/>
                <w:color w:val="000000"/>
                <w:szCs w:val="22"/>
              </w:rPr>
            </w:pPr>
            <w:r w:rsidRPr="00A67602">
              <w:rPr>
                <w:rFonts w:cs="Arial"/>
                <w:color w:val="000000"/>
                <w:szCs w:val="22"/>
              </w:rPr>
              <w:t>Planning pre-application fees</w:t>
            </w:r>
          </w:p>
        </w:tc>
        <w:tc>
          <w:tcPr>
            <w:tcW w:w="1169" w:type="dxa"/>
            <w:tcBorders>
              <w:top w:val="nil"/>
              <w:left w:val="nil"/>
              <w:bottom w:val="single" w:sz="4" w:space="0" w:color="BFBFBF"/>
              <w:right w:val="single" w:sz="4" w:space="0" w:color="BFBFBF"/>
            </w:tcBorders>
            <w:shd w:val="clear" w:color="auto" w:fill="auto"/>
            <w:noWrap/>
            <w:vAlign w:val="center"/>
            <w:hideMark/>
          </w:tcPr>
          <w:p w14:paraId="1370208B"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(21)</w:t>
            </w:r>
          </w:p>
        </w:tc>
        <w:tc>
          <w:tcPr>
            <w:tcW w:w="1169" w:type="dxa"/>
            <w:tcBorders>
              <w:top w:val="nil"/>
              <w:left w:val="nil"/>
              <w:bottom w:val="single" w:sz="4" w:space="0" w:color="BFBFBF"/>
              <w:right w:val="single" w:sz="4" w:space="0" w:color="BFBFBF"/>
            </w:tcBorders>
            <w:shd w:val="clear" w:color="auto" w:fill="auto"/>
            <w:noWrap/>
            <w:vAlign w:val="center"/>
            <w:hideMark/>
          </w:tcPr>
          <w:p w14:paraId="1370208C"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(72)</w:t>
            </w:r>
          </w:p>
        </w:tc>
        <w:tc>
          <w:tcPr>
            <w:tcW w:w="1169" w:type="dxa"/>
            <w:tcBorders>
              <w:top w:val="nil"/>
              <w:left w:val="nil"/>
              <w:bottom w:val="single" w:sz="4" w:space="0" w:color="BFBFBF"/>
              <w:right w:val="single" w:sz="4" w:space="0" w:color="BFBFBF"/>
            </w:tcBorders>
            <w:shd w:val="clear" w:color="auto" w:fill="auto"/>
            <w:noWrap/>
            <w:vAlign w:val="center"/>
            <w:hideMark/>
          </w:tcPr>
          <w:p w14:paraId="1370208D" w14:textId="77777777" w:rsidR="00632C2C" w:rsidRPr="00A67602" w:rsidRDefault="00632C2C" w:rsidP="00B2079D">
            <w:pPr>
              <w:spacing w:line="240" w:lineRule="auto"/>
              <w:jc w:val="right"/>
              <w:rPr>
                <w:rFonts w:cs="Arial"/>
                <w:color w:val="000000"/>
                <w:szCs w:val="22"/>
              </w:rPr>
            </w:pPr>
            <w:r w:rsidRPr="00A67602">
              <w:rPr>
                <w:rFonts w:cs="Arial"/>
                <w:color w:val="000000"/>
                <w:szCs w:val="22"/>
              </w:rPr>
              <w:t>(</w:t>
            </w:r>
            <w:r w:rsidR="00B2079D">
              <w:rPr>
                <w:rFonts w:cs="Arial"/>
                <w:color w:val="000000"/>
                <w:szCs w:val="22"/>
              </w:rPr>
              <w:t>40</w:t>
            </w:r>
            <w:r w:rsidRPr="00A67602">
              <w:rPr>
                <w:rFonts w:cs="Arial"/>
                <w:color w:val="000000"/>
                <w:szCs w:val="22"/>
              </w:rPr>
              <w:t>)</w:t>
            </w:r>
          </w:p>
        </w:tc>
        <w:tc>
          <w:tcPr>
            <w:tcW w:w="1170" w:type="dxa"/>
            <w:tcBorders>
              <w:top w:val="nil"/>
              <w:left w:val="nil"/>
              <w:bottom w:val="single" w:sz="4" w:space="0" w:color="BFBFBF"/>
              <w:right w:val="single" w:sz="4" w:space="0" w:color="auto"/>
            </w:tcBorders>
            <w:shd w:val="clear" w:color="auto" w:fill="auto"/>
            <w:noWrap/>
            <w:vAlign w:val="center"/>
            <w:hideMark/>
          </w:tcPr>
          <w:p w14:paraId="1370208E" w14:textId="77777777" w:rsidR="00632C2C" w:rsidRPr="00A67602" w:rsidRDefault="00B2079D" w:rsidP="00B2079D">
            <w:pPr>
              <w:spacing w:line="240" w:lineRule="auto"/>
              <w:jc w:val="right"/>
              <w:rPr>
                <w:rFonts w:cs="Arial"/>
                <w:color w:val="000000"/>
                <w:szCs w:val="22"/>
              </w:rPr>
            </w:pPr>
            <w:r>
              <w:rPr>
                <w:rFonts w:cs="Arial"/>
                <w:color w:val="000000"/>
                <w:szCs w:val="22"/>
              </w:rPr>
              <w:t>32</w:t>
            </w:r>
            <w:r w:rsidR="00632C2C" w:rsidRPr="00A67602">
              <w:rPr>
                <w:rFonts w:cs="Arial"/>
                <w:color w:val="000000"/>
                <w:szCs w:val="22"/>
              </w:rPr>
              <w:t xml:space="preserve">  </w:t>
            </w:r>
          </w:p>
        </w:tc>
      </w:tr>
      <w:tr w:rsidR="00632C2C" w:rsidRPr="00A67602" w14:paraId="13702095" w14:textId="77777777" w:rsidTr="00582F03">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13702090" w14:textId="77777777" w:rsidR="00632C2C" w:rsidRPr="00A67602" w:rsidRDefault="00632C2C" w:rsidP="009214E8">
            <w:pPr>
              <w:spacing w:line="240" w:lineRule="auto"/>
              <w:jc w:val="left"/>
              <w:rPr>
                <w:rFonts w:cs="Arial"/>
                <w:color w:val="000000"/>
                <w:szCs w:val="22"/>
              </w:rPr>
            </w:pPr>
            <w:r w:rsidRPr="00A67602">
              <w:rPr>
                <w:rFonts w:cs="Arial"/>
                <w:color w:val="000000"/>
                <w:szCs w:val="22"/>
              </w:rPr>
              <w:t>Investment property rental</w:t>
            </w:r>
          </w:p>
        </w:tc>
        <w:tc>
          <w:tcPr>
            <w:tcW w:w="1169" w:type="dxa"/>
            <w:tcBorders>
              <w:top w:val="nil"/>
              <w:left w:val="nil"/>
              <w:bottom w:val="single" w:sz="4" w:space="0" w:color="BFBFBF"/>
              <w:right w:val="single" w:sz="4" w:space="0" w:color="BFBFBF"/>
            </w:tcBorders>
            <w:shd w:val="clear" w:color="auto" w:fill="auto"/>
            <w:noWrap/>
            <w:vAlign w:val="center"/>
            <w:hideMark/>
          </w:tcPr>
          <w:p w14:paraId="13702091"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(1,076)</w:t>
            </w:r>
          </w:p>
        </w:tc>
        <w:tc>
          <w:tcPr>
            <w:tcW w:w="1169" w:type="dxa"/>
            <w:tcBorders>
              <w:top w:val="nil"/>
              <w:left w:val="nil"/>
              <w:bottom w:val="single" w:sz="4" w:space="0" w:color="BFBFBF"/>
              <w:right w:val="single" w:sz="4" w:space="0" w:color="BFBFBF"/>
            </w:tcBorders>
            <w:shd w:val="clear" w:color="auto" w:fill="auto"/>
            <w:noWrap/>
            <w:vAlign w:val="center"/>
            <w:hideMark/>
          </w:tcPr>
          <w:p w14:paraId="13702092"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(1,095)</w:t>
            </w:r>
          </w:p>
        </w:tc>
        <w:tc>
          <w:tcPr>
            <w:tcW w:w="1169" w:type="dxa"/>
            <w:tcBorders>
              <w:top w:val="nil"/>
              <w:left w:val="nil"/>
              <w:bottom w:val="single" w:sz="4" w:space="0" w:color="BFBFBF"/>
              <w:right w:val="single" w:sz="4" w:space="0" w:color="BFBFBF"/>
            </w:tcBorders>
            <w:shd w:val="clear" w:color="auto" w:fill="auto"/>
            <w:noWrap/>
            <w:vAlign w:val="center"/>
            <w:hideMark/>
          </w:tcPr>
          <w:p w14:paraId="13702093"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(1,096)</w:t>
            </w:r>
          </w:p>
        </w:tc>
        <w:tc>
          <w:tcPr>
            <w:tcW w:w="1170" w:type="dxa"/>
            <w:tcBorders>
              <w:top w:val="nil"/>
              <w:left w:val="nil"/>
              <w:bottom w:val="single" w:sz="4" w:space="0" w:color="BFBFBF"/>
              <w:right w:val="single" w:sz="4" w:space="0" w:color="auto"/>
            </w:tcBorders>
            <w:shd w:val="clear" w:color="auto" w:fill="auto"/>
            <w:noWrap/>
            <w:vAlign w:val="center"/>
            <w:hideMark/>
          </w:tcPr>
          <w:p w14:paraId="13702094" w14:textId="77777777" w:rsidR="00632C2C" w:rsidRPr="00A67602" w:rsidRDefault="00632C2C" w:rsidP="009214E8">
            <w:pPr>
              <w:spacing w:line="240" w:lineRule="auto"/>
              <w:jc w:val="right"/>
              <w:rPr>
                <w:rFonts w:cs="Arial"/>
                <w:color w:val="000000"/>
                <w:szCs w:val="22"/>
              </w:rPr>
            </w:pPr>
            <w:r w:rsidRPr="00A67602">
              <w:rPr>
                <w:rFonts w:cs="Arial"/>
                <w:color w:val="000000"/>
                <w:szCs w:val="22"/>
              </w:rPr>
              <w:t>(1)</w:t>
            </w:r>
          </w:p>
        </w:tc>
      </w:tr>
      <w:tr w:rsidR="00632C2C" w:rsidRPr="00017022" w14:paraId="1370209B" w14:textId="77777777" w:rsidTr="00582F03">
        <w:trPr>
          <w:trHeight w:val="284"/>
        </w:trPr>
        <w:tc>
          <w:tcPr>
            <w:tcW w:w="4536" w:type="dxa"/>
            <w:tcBorders>
              <w:top w:val="nil"/>
              <w:left w:val="single" w:sz="4" w:space="0" w:color="auto"/>
              <w:bottom w:val="nil"/>
              <w:right w:val="nil"/>
            </w:tcBorders>
            <w:shd w:val="clear" w:color="auto" w:fill="auto"/>
            <w:noWrap/>
            <w:vAlign w:val="center"/>
            <w:hideMark/>
          </w:tcPr>
          <w:p w14:paraId="13702096" w14:textId="77777777" w:rsidR="00632C2C" w:rsidRPr="00017022" w:rsidRDefault="00632C2C" w:rsidP="00E12977">
            <w:pPr>
              <w:spacing w:before="120" w:line="240" w:lineRule="auto"/>
              <w:jc w:val="left"/>
              <w:rPr>
                <w:rFonts w:cs="Arial"/>
                <w:b/>
                <w:bCs/>
                <w:szCs w:val="22"/>
              </w:rPr>
            </w:pPr>
            <w:r w:rsidRPr="00017022">
              <w:rPr>
                <w:rFonts w:cs="Arial"/>
                <w:b/>
                <w:bCs/>
                <w:szCs w:val="22"/>
              </w:rPr>
              <w:t>Legal HR &amp; Democratic Services</w:t>
            </w:r>
          </w:p>
        </w:tc>
        <w:tc>
          <w:tcPr>
            <w:tcW w:w="1169" w:type="dxa"/>
            <w:tcBorders>
              <w:top w:val="nil"/>
              <w:left w:val="nil"/>
              <w:bottom w:val="nil"/>
              <w:right w:val="nil"/>
            </w:tcBorders>
            <w:shd w:val="clear" w:color="auto" w:fill="auto"/>
            <w:noWrap/>
            <w:vAlign w:val="center"/>
            <w:hideMark/>
          </w:tcPr>
          <w:p w14:paraId="13702097" w14:textId="77777777" w:rsidR="00632C2C" w:rsidRPr="00017022" w:rsidRDefault="00632C2C" w:rsidP="009214E8">
            <w:pPr>
              <w:spacing w:line="240" w:lineRule="auto"/>
              <w:jc w:val="left"/>
              <w:rPr>
                <w:rFonts w:cs="Arial"/>
                <w:b/>
                <w:bCs/>
                <w:szCs w:val="22"/>
              </w:rPr>
            </w:pPr>
          </w:p>
        </w:tc>
        <w:tc>
          <w:tcPr>
            <w:tcW w:w="1169" w:type="dxa"/>
            <w:tcBorders>
              <w:top w:val="nil"/>
              <w:left w:val="nil"/>
              <w:bottom w:val="nil"/>
              <w:right w:val="nil"/>
            </w:tcBorders>
            <w:shd w:val="clear" w:color="auto" w:fill="auto"/>
            <w:noWrap/>
            <w:vAlign w:val="center"/>
            <w:hideMark/>
          </w:tcPr>
          <w:p w14:paraId="13702098" w14:textId="77777777" w:rsidR="00632C2C" w:rsidRPr="00017022" w:rsidRDefault="00632C2C" w:rsidP="009214E8">
            <w:pPr>
              <w:spacing w:line="240" w:lineRule="auto"/>
              <w:jc w:val="right"/>
              <w:rPr>
                <w:rFonts w:cs="Arial"/>
                <w:sz w:val="20"/>
              </w:rPr>
            </w:pPr>
          </w:p>
        </w:tc>
        <w:tc>
          <w:tcPr>
            <w:tcW w:w="1169" w:type="dxa"/>
            <w:tcBorders>
              <w:top w:val="nil"/>
              <w:left w:val="nil"/>
              <w:bottom w:val="nil"/>
              <w:right w:val="nil"/>
            </w:tcBorders>
            <w:shd w:val="clear" w:color="auto" w:fill="auto"/>
            <w:noWrap/>
            <w:vAlign w:val="center"/>
            <w:hideMark/>
          </w:tcPr>
          <w:p w14:paraId="13702099" w14:textId="77777777" w:rsidR="00632C2C" w:rsidRPr="00017022" w:rsidRDefault="00632C2C" w:rsidP="009214E8">
            <w:pPr>
              <w:spacing w:line="240" w:lineRule="auto"/>
              <w:jc w:val="right"/>
              <w:rPr>
                <w:rFonts w:cs="Arial"/>
                <w:sz w:val="20"/>
              </w:rPr>
            </w:pPr>
          </w:p>
        </w:tc>
        <w:tc>
          <w:tcPr>
            <w:tcW w:w="1170" w:type="dxa"/>
            <w:tcBorders>
              <w:top w:val="nil"/>
              <w:left w:val="nil"/>
              <w:bottom w:val="nil"/>
              <w:right w:val="single" w:sz="4" w:space="0" w:color="auto"/>
            </w:tcBorders>
            <w:shd w:val="clear" w:color="auto" w:fill="auto"/>
            <w:noWrap/>
            <w:vAlign w:val="center"/>
            <w:hideMark/>
          </w:tcPr>
          <w:p w14:paraId="1370209A" w14:textId="77777777" w:rsidR="00632C2C" w:rsidRPr="00017022" w:rsidRDefault="00632C2C" w:rsidP="009214E8">
            <w:pPr>
              <w:spacing w:line="240" w:lineRule="auto"/>
              <w:jc w:val="right"/>
              <w:rPr>
                <w:rFonts w:cs="Arial"/>
                <w:sz w:val="20"/>
              </w:rPr>
            </w:pPr>
          </w:p>
        </w:tc>
      </w:tr>
      <w:tr w:rsidR="00632C2C" w:rsidRPr="00017022" w14:paraId="137020A1" w14:textId="77777777" w:rsidTr="00582F03">
        <w:trPr>
          <w:trHeight w:val="284"/>
        </w:trPr>
        <w:tc>
          <w:tcPr>
            <w:tcW w:w="4536"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1370209C" w14:textId="77777777" w:rsidR="00632C2C" w:rsidRPr="00017022" w:rsidRDefault="00632C2C" w:rsidP="009214E8">
            <w:pPr>
              <w:spacing w:line="240" w:lineRule="auto"/>
              <w:jc w:val="left"/>
              <w:rPr>
                <w:rFonts w:cs="Arial"/>
                <w:szCs w:val="22"/>
              </w:rPr>
            </w:pPr>
            <w:r w:rsidRPr="00017022">
              <w:rPr>
                <w:rFonts w:cs="Arial"/>
                <w:szCs w:val="22"/>
              </w:rPr>
              <w:t>Land Charges</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1370209D" w14:textId="77777777" w:rsidR="00632C2C" w:rsidRPr="00017022" w:rsidRDefault="00632C2C" w:rsidP="009214E8">
            <w:pPr>
              <w:spacing w:line="240" w:lineRule="auto"/>
              <w:jc w:val="right"/>
              <w:rPr>
                <w:rFonts w:cs="Arial"/>
                <w:szCs w:val="22"/>
              </w:rPr>
            </w:pPr>
            <w:r w:rsidRPr="00017022">
              <w:rPr>
                <w:rFonts w:cs="Arial"/>
                <w:szCs w:val="22"/>
              </w:rPr>
              <w:t>(95)</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1370209E" w14:textId="77777777" w:rsidR="00632C2C" w:rsidRPr="00017022" w:rsidRDefault="00632C2C" w:rsidP="009214E8">
            <w:pPr>
              <w:spacing w:line="240" w:lineRule="auto"/>
              <w:jc w:val="right"/>
              <w:rPr>
                <w:rFonts w:cs="Arial"/>
                <w:szCs w:val="22"/>
              </w:rPr>
            </w:pPr>
            <w:r w:rsidRPr="00017022">
              <w:rPr>
                <w:rFonts w:cs="Arial"/>
                <w:szCs w:val="22"/>
              </w:rPr>
              <w:t>(100)</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1370209F" w14:textId="77777777" w:rsidR="00632C2C" w:rsidRPr="00017022" w:rsidRDefault="00632C2C" w:rsidP="009214E8">
            <w:pPr>
              <w:spacing w:line="240" w:lineRule="auto"/>
              <w:jc w:val="right"/>
              <w:rPr>
                <w:rFonts w:cs="Arial"/>
                <w:szCs w:val="22"/>
              </w:rPr>
            </w:pPr>
            <w:r w:rsidRPr="00017022">
              <w:rPr>
                <w:rFonts w:cs="Arial"/>
                <w:szCs w:val="22"/>
              </w:rPr>
              <w:t>(90)</w:t>
            </w:r>
          </w:p>
        </w:tc>
        <w:tc>
          <w:tcPr>
            <w:tcW w:w="1170" w:type="dxa"/>
            <w:tcBorders>
              <w:top w:val="single" w:sz="4" w:space="0" w:color="BFBFBF"/>
              <w:left w:val="nil"/>
              <w:bottom w:val="single" w:sz="4" w:space="0" w:color="BFBFBF"/>
              <w:right w:val="single" w:sz="4" w:space="0" w:color="auto"/>
            </w:tcBorders>
            <w:shd w:val="clear" w:color="auto" w:fill="auto"/>
            <w:noWrap/>
            <w:vAlign w:val="center"/>
            <w:hideMark/>
          </w:tcPr>
          <w:p w14:paraId="137020A0" w14:textId="77777777" w:rsidR="00632C2C" w:rsidRPr="00017022" w:rsidRDefault="00632C2C" w:rsidP="009214E8">
            <w:pPr>
              <w:spacing w:line="240" w:lineRule="auto"/>
              <w:jc w:val="right"/>
              <w:rPr>
                <w:rFonts w:cs="Arial"/>
                <w:szCs w:val="22"/>
              </w:rPr>
            </w:pPr>
            <w:r w:rsidRPr="00017022">
              <w:rPr>
                <w:rFonts w:cs="Arial"/>
                <w:szCs w:val="22"/>
              </w:rPr>
              <w:t xml:space="preserve">10 </w:t>
            </w:r>
          </w:p>
        </w:tc>
      </w:tr>
      <w:tr w:rsidR="00632C2C" w:rsidRPr="00017022" w14:paraId="137020A7" w14:textId="77777777" w:rsidTr="00582F03">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137020A2" w14:textId="77777777" w:rsidR="00632C2C" w:rsidRPr="00017022" w:rsidRDefault="00632C2C" w:rsidP="009214E8">
            <w:pPr>
              <w:spacing w:line="240" w:lineRule="auto"/>
              <w:jc w:val="left"/>
              <w:rPr>
                <w:rFonts w:cs="Arial"/>
                <w:szCs w:val="22"/>
              </w:rPr>
            </w:pPr>
            <w:r w:rsidRPr="00017022">
              <w:rPr>
                <w:rFonts w:cs="Arial"/>
                <w:szCs w:val="22"/>
              </w:rPr>
              <w:t>Legal fees recovered</w:t>
            </w:r>
          </w:p>
        </w:tc>
        <w:tc>
          <w:tcPr>
            <w:tcW w:w="1169" w:type="dxa"/>
            <w:tcBorders>
              <w:top w:val="nil"/>
              <w:left w:val="nil"/>
              <w:bottom w:val="single" w:sz="4" w:space="0" w:color="BFBFBF"/>
              <w:right w:val="single" w:sz="4" w:space="0" w:color="BFBFBF"/>
            </w:tcBorders>
            <w:shd w:val="clear" w:color="auto" w:fill="auto"/>
            <w:noWrap/>
            <w:vAlign w:val="center"/>
            <w:hideMark/>
          </w:tcPr>
          <w:p w14:paraId="137020A3" w14:textId="77777777" w:rsidR="00632C2C" w:rsidRPr="00017022" w:rsidRDefault="00632C2C" w:rsidP="009214E8">
            <w:pPr>
              <w:spacing w:line="240" w:lineRule="auto"/>
              <w:jc w:val="right"/>
              <w:rPr>
                <w:rFonts w:cs="Arial"/>
                <w:szCs w:val="22"/>
              </w:rPr>
            </w:pPr>
            <w:r w:rsidRPr="00017022">
              <w:rPr>
                <w:rFonts w:cs="Arial"/>
                <w:szCs w:val="22"/>
              </w:rPr>
              <w:t>(13)</w:t>
            </w:r>
          </w:p>
        </w:tc>
        <w:tc>
          <w:tcPr>
            <w:tcW w:w="1169" w:type="dxa"/>
            <w:tcBorders>
              <w:top w:val="nil"/>
              <w:left w:val="nil"/>
              <w:bottom w:val="single" w:sz="4" w:space="0" w:color="BFBFBF"/>
              <w:right w:val="single" w:sz="4" w:space="0" w:color="BFBFBF"/>
            </w:tcBorders>
            <w:shd w:val="clear" w:color="auto" w:fill="auto"/>
            <w:noWrap/>
            <w:vAlign w:val="center"/>
            <w:hideMark/>
          </w:tcPr>
          <w:p w14:paraId="137020A4" w14:textId="77777777" w:rsidR="00632C2C" w:rsidRPr="00017022" w:rsidRDefault="00632C2C" w:rsidP="009214E8">
            <w:pPr>
              <w:spacing w:line="240" w:lineRule="auto"/>
              <w:jc w:val="right"/>
              <w:rPr>
                <w:rFonts w:cs="Arial"/>
                <w:szCs w:val="22"/>
              </w:rPr>
            </w:pPr>
            <w:r w:rsidRPr="00017022">
              <w:rPr>
                <w:rFonts w:cs="Arial"/>
                <w:szCs w:val="22"/>
              </w:rPr>
              <w:t>(15)</w:t>
            </w:r>
          </w:p>
        </w:tc>
        <w:tc>
          <w:tcPr>
            <w:tcW w:w="1169" w:type="dxa"/>
            <w:tcBorders>
              <w:top w:val="nil"/>
              <w:left w:val="nil"/>
              <w:bottom w:val="single" w:sz="4" w:space="0" w:color="BFBFBF"/>
              <w:right w:val="single" w:sz="4" w:space="0" w:color="BFBFBF"/>
            </w:tcBorders>
            <w:shd w:val="clear" w:color="auto" w:fill="auto"/>
            <w:noWrap/>
            <w:vAlign w:val="center"/>
            <w:hideMark/>
          </w:tcPr>
          <w:p w14:paraId="137020A5" w14:textId="77777777" w:rsidR="00632C2C" w:rsidRPr="00017022" w:rsidRDefault="00632C2C" w:rsidP="009214E8">
            <w:pPr>
              <w:spacing w:line="240" w:lineRule="auto"/>
              <w:jc w:val="right"/>
              <w:rPr>
                <w:rFonts w:cs="Arial"/>
                <w:szCs w:val="22"/>
              </w:rPr>
            </w:pPr>
            <w:r w:rsidRPr="00017022">
              <w:rPr>
                <w:rFonts w:cs="Arial"/>
                <w:szCs w:val="22"/>
              </w:rPr>
              <w:t>(15)</w:t>
            </w:r>
          </w:p>
        </w:tc>
        <w:tc>
          <w:tcPr>
            <w:tcW w:w="1170" w:type="dxa"/>
            <w:tcBorders>
              <w:top w:val="nil"/>
              <w:left w:val="nil"/>
              <w:bottom w:val="single" w:sz="4" w:space="0" w:color="BFBFBF"/>
              <w:right w:val="single" w:sz="4" w:space="0" w:color="auto"/>
            </w:tcBorders>
            <w:shd w:val="clear" w:color="auto" w:fill="auto"/>
            <w:noWrap/>
            <w:vAlign w:val="center"/>
            <w:hideMark/>
          </w:tcPr>
          <w:p w14:paraId="137020A6" w14:textId="77777777" w:rsidR="00632C2C" w:rsidRPr="00017022" w:rsidRDefault="00632C2C" w:rsidP="009214E8">
            <w:pPr>
              <w:spacing w:line="240" w:lineRule="auto"/>
              <w:jc w:val="right"/>
              <w:rPr>
                <w:rFonts w:cs="Arial"/>
                <w:szCs w:val="22"/>
              </w:rPr>
            </w:pPr>
            <w:r w:rsidRPr="00017022">
              <w:rPr>
                <w:rFonts w:cs="Arial"/>
                <w:szCs w:val="22"/>
              </w:rPr>
              <w:t xml:space="preserve">-  </w:t>
            </w:r>
          </w:p>
        </w:tc>
      </w:tr>
      <w:tr w:rsidR="00632C2C" w:rsidRPr="00017022" w14:paraId="137020AD" w14:textId="77777777" w:rsidTr="00582F03">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137020A8" w14:textId="77777777" w:rsidR="00632C2C" w:rsidRPr="00017022" w:rsidRDefault="00632C2C" w:rsidP="009214E8">
            <w:pPr>
              <w:spacing w:line="240" w:lineRule="auto"/>
              <w:jc w:val="left"/>
              <w:rPr>
                <w:rFonts w:cs="Arial"/>
                <w:szCs w:val="22"/>
              </w:rPr>
            </w:pPr>
            <w:r w:rsidRPr="00017022">
              <w:rPr>
                <w:rFonts w:cs="Arial"/>
                <w:szCs w:val="22"/>
              </w:rPr>
              <w:t>Licensing - Alcohol</w:t>
            </w:r>
          </w:p>
        </w:tc>
        <w:tc>
          <w:tcPr>
            <w:tcW w:w="1169" w:type="dxa"/>
            <w:tcBorders>
              <w:top w:val="nil"/>
              <w:left w:val="nil"/>
              <w:bottom w:val="single" w:sz="4" w:space="0" w:color="BFBFBF"/>
              <w:right w:val="single" w:sz="4" w:space="0" w:color="BFBFBF"/>
            </w:tcBorders>
            <w:shd w:val="clear" w:color="auto" w:fill="auto"/>
            <w:noWrap/>
            <w:vAlign w:val="center"/>
            <w:hideMark/>
          </w:tcPr>
          <w:p w14:paraId="137020A9" w14:textId="77777777" w:rsidR="00632C2C" w:rsidRPr="00017022" w:rsidRDefault="00632C2C" w:rsidP="009214E8">
            <w:pPr>
              <w:spacing w:line="240" w:lineRule="auto"/>
              <w:jc w:val="right"/>
              <w:rPr>
                <w:rFonts w:cs="Arial"/>
                <w:szCs w:val="22"/>
              </w:rPr>
            </w:pPr>
            <w:r w:rsidRPr="00017022">
              <w:rPr>
                <w:rFonts w:cs="Arial"/>
                <w:szCs w:val="22"/>
              </w:rPr>
              <w:t>(72)</w:t>
            </w:r>
          </w:p>
        </w:tc>
        <w:tc>
          <w:tcPr>
            <w:tcW w:w="1169" w:type="dxa"/>
            <w:tcBorders>
              <w:top w:val="nil"/>
              <w:left w:val="nil"/>
              <w:bottom w:val="single" w:sz="4" w:space="0" w:color="BFBFBF"/>
              <w:right w:val="single" w:sz="4" w:space="0" w:color="BFBFBF"/>
            </w:tcBorders>
            <w:shd w:val="clear" w:color="auto" w:fill="auto"/>
            <w:noWrap/>
            <w:vAlign w:val="center"/>
            <w:hideMark/>
          </w:tcPr>
          <w:p w14:paraId="137020AA" w14:textId="77777777" w:rsidR="00632C2C" w:rsidRPr="00017022" w:rsidRDefault="00632C2C" w:rsidP="009214E8">
            <w:pPr>
              <w:spacing w:line="240" w:lineRule="auto"/>
              <w:jc w:val="right"/>
              <w:rPr>
                <w:rFonts w:cs="Arial"/>
                <w:szCs w:val="22"/>
              </w:rPr>
            </w:pPr>
            <w:r w:rsidRPr="00017022">
              <w:rPr>
                <w:rFonts w:cs="Arial"/>
                <w:szCs w:val="22"/>
              </w:rPr>
              <w:t>(76)</w:t>
            </w:r>
          </w:p>
        </w:tc>
        <w:tc>
          <w:tcPr>
            <w:tcW w:w="1169" w:type="dxa"/>
            <w:tcBorders>
              <w:top w:val="nil"/>
              <w:left w:val="nil"/>
              <w:bottom w:val="single" w:sz="4" w:space="0" w:color="BFBFBF"/>
              <w:right w:val="single" w:sz="4" w:space="0" w:color="BFBFBF"/>
            </w:tcBorders>
            <w:shd w:val="clear" w:color="auto" w:fill="auto"/>
            <w:noWrap/>
            <w:vAlign w:val="center"/>
            <w:hideMark/>
          </w:tcPr>
          <w:p w14:paraId="137020AB" w14:textId="77777777" w:rsidR="00632C2C" w:rsidRPr="00017022" w:rsidRDefault="00632C2C" w:rsidP="009214E8">
            <w:pPr>
              <w:spacing w:line="240" w:lineRule="auto"/>
              <w:jc w:val="right"/>
              <w:rPr>
                <w:rFonts w:cs="Arial"/>
                <w:szCs w:val="22"/>
              </w:rPr>
            </w:pPr>
            <w:r w:rsidRPr="00017022">
              <w:rPr>
                <w:rFonts w:cs="Arial"/>
                <w:szCs w:val="22"/>
              </w:rPr>
              <w:t>(66)</w:t>
            </w:r>
          </w:p>
        </w:tc>
        <w:tc>
          <w:tcPr>
            <w:tcW w:w="1170" w:type="dxa"/>
            <w:tcBorders>
              <w:top w:val="nil"/>
              <w:left w:val="nil"/>
              <w:bottom w:val="single" w:sz="4" w:space="0" w:color="BFBFBF"/>
              <w:right w:val="single" w:sz="4" w:space="0" w:color="auto"/>
            </w:tcBorders>
            <w:shd w:val="clear" w:color="auto" w:fill="auto"/>
            <w:noWrap/>
            <w:vAlign w:val="center"/>
            <w:hideMark/>
          </w:tcPr>
          <w:p w14:paraId="137020AC" w14:textId="77777777" w:rsidR="00632C2C" w:rsidRPr="00017022" w:rsidRDefault="00632C2C" w:rsidP="009214E8">
            <w:pPr>
              <w:spacing w:line="240" w:lineRule="auto"/>
              <w:jc w:val="right"/>
              <w:rPr>
                <w:rFonts w:cs="Arial"/>
                <w:szCs w:val="22"/>
              </w:rPr>
            </w:pPr>
            <w:r w:rsidRPr="00017022">
              <w:rPr>
                <w:rFonts w:cs="Arial"/>
                <w:szCs w:val="22"/>
              </w:rPr>
              <w:t xml:space="preserve">10 </w:t>
            </w:r>
          </w:p>
        </w:tc>
      </w:tr>
      <w:tr w:rsidR="00632C2C" w:rsidRPr="00017022" w14:paraId="137020B3" w14:textId="77777777" w:rsidTr="00582F03">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137020AE" w14:textId="77777777" w:rsidR="00632C2C" w:rsidRPr="00017022" w:rsidRDefault="00632C2C" w:rsidP="009214E8">
            <w:pPr>
              <w:spacing w:line="240" w:lineRule="auto"/>
              <w:jc w:val="left"/>
              <w:rPr>
                <w:rFonts w:cs="Arial"/>
                <w:szCs w:val="22"/>
              </w:rPr>
            </w:pPr>
            <w:r w:rsidRPr="00017022">
              <w:rPr>
                <w:rFonts w:cs="Arial"/>
                <w:szCs w:val="22"/>
              </w:rPr>
              <w:t>Licensing - Gambling</w:t>
            </w:r>
          </w:p>
        </w:tc>
        <w:tc>
          <w:tcPr>
            <w:tcW w:w="1169" w:type="dxa"/>
            <w:tcBorders>
              <w:top w:val="nil"/>
              <w:left w:val="nil"/>
              <w:bottom w:val="single" w:sz="4" w:space="0" w:color="BFBFBF"/>
              <w:right w:val="single" w:sz="4" w:space="0" w:color="BFBFBF"/>
            </w:tcBorders>
            <w:shd w:val="clear" w:color="auto" w:fill="auto"/>
            <w:noWrap/>
            <w:vAlign w:val="center"/>
            <w:hideMark/>
          </w:tcPr>
          <w:p w14:paraId="137020AF" w14:textId="77777777" w:rsidR="00632C2C" w:rsidRPr="00017022" w:rsidRDefault="00632C2C" w:rsidP="009214E8">
            <w:pPr>
              <w:spacing w:line="240" w:lineRule="auto"/>
              <w:jc w:val="right"/>
              <w:rPr>
                <w:rFonts w:cs="Arial"/>
                <w:szCs w:val="22"/>
              </w:rPr>
            </w:pPr>
            <w:r w:rsidRPr="00017022">
              <w:rPr>
                <w:rFonts w:cs="Arial"/>
                <w:szCs w:val="22"/>
              </w:rPr>
              <w:t>(13)</w:t>
            </w:r>
          </w:p>
        </w:tc>
        <w:tc>
          <w:tcPr>
            <w:tcW w:w="1169" w:type="dxa"/>
            <w:tcBorders>
              <w:top w:val="nil"/>
              <w:left w:val="nil"/>
              <w:bottom w:val="single" w:sz="4" w:space="0" w:color="BFBFBF"/>
              <w:right w:val="single" w:sz="4" w:space="0" w:color="BFBFBF"/>
            </w:tcBorders>
            <w:shd w:val="clear" w:color="auto" w:fill="auto"/>
            <w:noWrap/>
            <w:vAlign w:val="center"/>
            <w:hideMark/>
          </w:tcPr>
          <w:p w14:paraId="137020B0" w14:textId="77777777" w:rsidR="00632C2C" w:rsidRPr="00017022" w:rsidRDefault="00632C2C" w:rsidP="009214E8">
            <w:pPr>
              <w:spacing w:line="240" w:lineRule="auto"/>
              <w:jc w:val="right"/>
              <w:rPr>
                <w:rFonts w:cs="Arial"/>
                <w:szCs w:val="22"/>
              </w:rPr>
            </w:pPr>
            <w:r w:rsidRPr="00017022">
              <w:rPr>
                <w:rFonts w:cs="Arial"/>
                <w:szCs w:val="22"/>
              </w:rPr>
              <w:t>(12)</w:t>
            </w:r>
          </w:p>
        </w:tc>
        <w:tc>
          <w:tcPr>
            <w:tcW w:w="1169" w:type="dxa"/>
            <w:tcBorders>
              <w:top w:val="nil"/>
              <w:left w:val="nil"/>
              <w:bottom w:val="single" w:sz="4" w:space="0" w:color="BFBFBF"/>
              <w:right w:val="single" w:sz="4" w:space="0" w:color="BFBFBF"/>
            </w:tcBorders>
            <w:shd w:val="clear" w:color="auto" w:fill="auto"/>
            <w:noWrap/>
            <w:vAlign w:val="center"/>
            <w:hideMark/>
          </w:tcPr>
          <w:p w14:paraId="137020B1" w14:textId="77777777" w:rsidR="00632C2C" w:rsidRPr="00017022" w:rsidRDefault="00632C2C" w:rsidP="009214E8">
            <w:pPr>
              <w:spacing w:line="240" w:lineRule="auto"/>
              <w:jc w:val="right"/>
              <w:rPr>
                <w:rFonts w:cs="Arial"/>
                <w:szCs w:val="22"/>
              </w:rPr>
            </w:pPr>
            <w:r w:rsidRPr="00017022">
              <w:rPr>
                <w:rFonts w:cs="Arial"/>
                <w:szCs w:val="22"/>
              </w:rPr>
              <w:t>(12)</w:t>
            </w:r>
          </w:p>
        </w:tc>
        <w:tc>
          <w:tcPr>
            <w:tcW w:w="1170" w:type="dxa"/>
            <w:tcBorders>
              <w:top w:val="nil"/>
              <w:left w:val="nil"/>
              <w:bottom w:val="single" w:sz="4" w:space="0" w:color="BFBFBF"/>
              <w:right w:val="single" w:sz="4" w:space="0" w:color="auto"/>
            </w:tcBorders>
            <w:shd w:val="clear" w:color="auto" w:fill="auto"/>
            <w:noWrap/>
            <w:vAlign w:val="center"/>
            <w:hideMark/>
          </w:tcPr>
          <w:p w14:paraId="137020B2" w14:textId="77777777" w:rsidR="00632C2C" w:rsidRPr="00017022" w:rsidRDefault="00632C2C" w:rsidP="009214E8">
            <w:pPr>
              <w:spacing w:line="240" w:lineRule="auto"/>
              <w:jc w:val="right"/>
              <w:rPr>
                <w:rFonts w:cs="Arial"/>
                <w:szCs w:val="22"/>
              </w:rPr>
            </w:pPr>
            <w:r w:rsidRPr="00017022">
              <w:rPr>
                <w:rFonts w:cs="Arial"/>
                <w:szCs w:val="22"/>
              </w:rPr>
              <w:t xml:space="preserve">-  </w:t>
            </w:r>
          </w:p>
        </w:tc>
      </w:tr>
      <w:tr w:rsidR="00632C2C" w:rsidRPr="00017022" w14:paraId="137020B9" w14:textId="77777777" w:rsidTr="00582F03">
        <w:trPr>
          <w:trHeight w:val="284"/>
        </w:trPr>
        <w:tc>
          <w:tcPr>
            <w:tcW w:w="4536" w:type="dxa"/>
            <w:tcBorders>
              <w:top w:val="nil"/>
              <w:left w:val="single" w:sz="4" w:space="0" w:color="auto"/>
              <w:bottom w:val="single" w:sz="4" w:space="0" w:color="BFBFBF"/>
              <w:right w:val="single" w:sz="4" w:space="0" w:color="BFBFBF"/>
            </w:tcBorders>
            <w:shd w:val="clear" w:color="auto" w:fill="auto"/>
            <w:noWrap/>
            <w:vAlign w:val="center"/>
            <w:hideMark/>
          </w:tcPr>
          <w:p w14:paraId="137020B4" w14:textId="77777777" w:rsidR="00632C2C" w:rsidRPr="00017022" w:rsidRDefault="00632C2C" w:rsidP="009214E8">
            <w:pPr>
              <w:spacing w:line="240" w:lineRule="auto"/>
              <w:jc w:val="left"/>
              <w:rPr>
                <w:rFonts w:cs="Arial"/>
                <w:szCs w:val="22"/>
              </w:rPr>
            </w:pPr>
            <w:r w:rsidRPr="00017022">
              <w:rPr>
                <w:rFonts w:cs="Arial"/>
                <w:szCs w:val="22"/>
              </w:rPr>
              <w:t>Licensing - Taxis</w:t>
            </w:r>
          </w:p>
        </w:tc>
        <w:tc>
          <w:tcPr>
            <w:tcW w:w="1169" w:type="dxa"/>
            <w:tcBorders>
              <w:top w:val="nil"/>
              <w:left w:val="nil"/>
              <w:bottom w:val="single" w:sz="4" w:space="0" w:color="BFBFBF"/>
              <w:right w:val="single" w:sz="4" w:space="0" w:color="BFBFBF"/>
            </w:tcBorders>
            <w:shd w:val="clear" w:color="auto" w:fill="auto"/>
            <w:noWrap/>
            <w:vAlign w:val="center"/>
            <w:hideMark/>
          </w:tcPr>
          <w:p w14:paraId="137020B5" w14:textId="77777777" w:rsidR="00632C2C" w:rsidRPr="00017022" w:rsidRDefault="00632C2C" w:rsidP="009214E8">
            <w:pPr>
              <w:spacing w:line="240" w:lineRule="auto"/>
              <w:jc w:val="right"/>
              <w:rPr>
                <w:rFonts w:cs="Arial"/>
                <w:szCs w:val="22"/>
              </w:rPr>
            </w:pPr>
            <w:r w:rsidRPr="00017022">
              <w:rPr>
                <w:rFonts w:cs="Arial"/>
                <w:szCs w:val="22"/>
              </w:rPr>
              <w:t>(81)</w:t>
            </w:r>
          </w:p>
        </w:tc>
        <w:tc>
          <w:tcPr>
            <w:tcW w:w="1169" w:type="dxa"/>
            <w:tcBorders>
              <w:top w:val="nil"/>
              <w:left w:val="nil"/>
              <w:bottom w:val="single" w:sz="4" w:space="0" w:color="BFBFBF"/>
              <w:right w:val="single" w:sz="4" w:space="0" w:color="BFBFBF"/>
            </w:tcBorders>
            <w:shd w:val="clear" w:color="auto" w:fill="auto"/>
            <w:noWrap/>
            <w:vAlign w:val="center"/>
            <w:hideMark/>
          </w:tcPr>
          <w:p w14:paraId="137020B6" w14:textId="77777777" w:rsidR="00632C2C" w:rsidRPr="00017022" w:rsidRDefault="00632C2C" w:rsidP="009214E8">
            <w:pPr>
              <w:spacing w:line="240" w:lineRule="auto"/>
              <w:jc w:val="right"/>
              <w:rPr>
                <w:rFonts w:cs="Arial"/>
                <w:szCs w:val="22"/>
              </w:rPr>
            </w:pPr>
            <w:r w:rsidRPr="00017022">
              <w:rPr>
                <w:rFonts w:cs="Arial"/>
                <w:szCs w:val="22"/>
              </w:rPr>
              <w:t>(94)</w:t>
            </w:r>
          </w:p>
        </w:tc>
        <w:tc>
          <w:tcPr>
            <w:tcW w:w="1169" w:type="dxa"/>
            <w:tcBorders>
              <w:top w:val="nil"/>
              <w:left w:val="nil"/>
              <w:bottom w:val="single" w:sz="4" w:space="0" w:color="BFBFBF"/>
              <w:right w:val="single" w:sz="4" w:space="0" w:color="BFBFBF"/>
            </w:tcBorders>
            <w:shd w:val="clear" w:color="auto" w:fill="auto"/>
            <w:noWrap/>
            <w:vAlign w:val="center"/>
            <w:hideMark/>
          </w:tcPr>
          <w:p w14:paraId="137020B7" w14:textId="77777777" w:rsidR="00632C2C" w:rsidRPr="00017022" w:rsidRDefault="00632C2C" w:rsidP="009214E8">
            <w:pPr>
              <w:spacing w:line="240" w:lineRule="auto"/>
              <w:jc w:val="right"/>
              <w:rPr>
                <w:rFonts w:cs="Arial"/>
                <w:szCs w:val="22"/>
              </w:rPr>
            </w:pPr>
            <w:r w:rsidRPr="00017022">
              <w:rPr>
                <w:rFonts w:cs="Arial"/>
                <w:szCs w:val="22"/>
              </w:rPr>
              <w:t>(79)</w:t>
            </w:r>
          </w:p>
        </w:tc>
        <w:tc>
          <w:tcPr>
            <w:tcW w:w="1170" w:type="dxa"/>
            <w:tcBorders>
              <w:top w:val="nil"/>
              <w:left w:val="nil"/>
              <w:bottom w:val="single" w:sz="4" w:space="0" w:color="BFBFBF"/>
              <w:right w:val="single" w:sz="4" w:space="0" w:color="auto"/>
            </w:tcBorders>
            <w:shd w:val="clear" w:color="auto" w:fill="auto"/>
            <w:noWrap/>
            <w:vAlign w:val="center"/>
            <w:hideMark/>
          </w:tcPr>
          <w:p w14:paraId="137020B8" w14:textId="77777777" w:rsidR="00632C2C" w:rsidRPr="00017022" w:rsidRDefault="00632C2C" w:rsidP="00EC3627">
            <w:pPr>
              <w:spacing w:line="240" w:lineRule="auto"/>
              <w:jc w:val="right"/>
              <w:rPr>
                <w:rFonts w:cs="Arial"/>
                <w:szCs w:val="22"/>
              </w:rPr>
            </w:pPr>
            <w:r w:rsidRPr="00017022">
              <w:rPr>
                <w:rFonts w:cs="Arial"/>
                <w:szCs w:val="22"/>
              </w:rPr>
              <w:t>1</w:t>
            </w:r>
            <w:r w:rsidR="00EC3627" w:rsidRPr="00017022">
              <w:rPr>
                <w:rFonts w:cs="Arial"/>
                <w:szCs w:val="22"/>
              </w:rPr>
              <w:t>5</w:t>
            </w:r>
            <w:r w:rsidRPr="00017022">
              <w:rPr>
                <w:rFonts w:cs="Arial"/>
                <w:szCs w:val="22"/>
              </w:rPr>
              <w:t xml:space="preserve"> </w:t>
            </w:r>
          </w:p>
        </w:tc>
      </w:tr>
      <w:tr w:rsidR="00632C2C" w:rsidRPr="00017022" w14:paraId="137020BF" w14:textId="77777777" w:rsidTr="00582F03">
        <w:trPr>
          <w:trHeight w:val="284"/>
        </w:trPr>
        <w:tc>
          <w:tcPr>
            <w:tcW w:w="4536" w:type="dxa"/>
            <w:tcBorders>
              <w:top w:val="nil"/>
              <w:left w:val="single" w:sz="4" w:space="0" w:color="auto"/>
              <w:bottom w:val="nil"/>
              <w:right w:val="nil"/>
            </w:tcBorders>
            <w:shd w:val="clear" w:color="auto" w:fill="auto"/>
            <w:noWrap/>
            <w:vAlign w:val="center"/>
            <w:hideMark/>
          </w:tcPr>
          <w:p w14:paraId="137020BA" w14:textId="77777777" w:rsidR="00632C2C" w:rsidRPr="00017022" w:rsidRDefault="00632C2C" w:rsidP="00E12977">
            <w:pPr>
              <w:spacing w:before="120" w:line="240" w:lineRule="auto"/>
              <w:jc w:val="left"/>
              <w:rPr>
                <w:rFonts w:cs="Arial"/>
                <w:b/>
                <w:bCs/>
                <w:szCs w:val="22"/>
              </w:rPr>
            </w:pPr>
            <w:r w:rsidRPr="00017022">
              <w:rPr>
                <w:rFonts w:cs="Arial"/>
                <w:b/>
                <w:bCs/>
                <w:szCs w:val="22"/>
              </w:rPr>
              <w:t>Customer Experience &amp; Operations</w:t>
            </w:r>
          </w:p>
        </w:tc>
        <w:tc>
          <w:tcPr>
            <w:tcW w:w="1169" w:type="dxa"/>
            <w:tcBorders>
              <w:top w:val="nil"/>
              <w:left w:val="nil"/>
              <w:bottom w:val="nil"/>
              <w:right w:val="nil"/>
            </w:tcBorders>
            <w:shd w:val="clear" w:color="auto" w:fill="auto"/>
            <w:noWrap/>
            <w:vAlign w:val="center"/>
            <w:hideMark/>
          </w:tcPr>
          <w:p w14:paraId="137020BB" w14:textId="77777777" w:rsidR="00632C2C" w:rsidRPr="00017022" w:rsidRDefault="00632C2C" w:rsidP="009214E8">
            <w:pPr>
              <w:spacing w:line="240" w:lineRule="auto"/>
              <w:jc w:val="left"/>
              <w:rPr>
                <w:rFonts w:cs="Arial"/>
                <w:b/>
                <w:bCs/>
                <w:szCs w:val="22"/>
              </w:rPr>
            </w:pPr>
          </w:p>
        </w:tc>
        <w:tc>
          <w:tcPr>
            <w:tcW w:w="1169" w:type="dxa"/>
            <w:tcBorders>
              <w:top w:val="nil"/>
              <w:left w:val="nil"/>
              <w:bottom w:val="nil"/>
              <w:right w:val="nil"/>
            </w:tcBorders>
            <w:shd w:val="clear" w:color="auto" w:fill="auto"/>
            <w:noWrap/>
            <w:vAlign w:val="center"/>
            <w:hideMark/>
          </w:tcPr>
          <w:p w14:paraId="137020BC" w14:textId="77777777" w:rsidR="00632C2C" w:rsidRPr="00017022" w:rsidRDefault="00632C2C" w:rsidP="009214E8">
            <w:pPr>
              <w:spacing w:line="240" w:lineRule="auto"/>
              <w:jc w:val="right"/>
              <w:rPr>
                <w:rFonts w:cs="Arial"/>
                <w:sz w:val="20"/>
              </w:rPr>
            </w:pPr>
          </w:p>
        </w:tc>
        <w:tc>
          <w:tcPr>
            <w:tcW w:w="1169" w:type="dxa"/>
            <w:tcBorders>
              <w:top w:val="nil"/>
              <w:left w:val="nil"/>
              <w:bottom w:val="nil"/>
              <w:right w:val="nil"/>
            </w:tcBorders>
            <w:shd w:val="clear" w:color="auto" w:fill="auto"/>
            <w:noWrap/>
            <w:vAlign w:val="center"/>
            <w:hideMark/>
          </w:tcPr>
          <w:p w14:paraId="137020BD" w14:textId="77777777" w:rsidR="00632C2C" w:rsidRPr="00017022" w:rsidRDefault="00632C2C" w:rsidP="009214E8">
            <w:pPr>
              <w:spacing w:line="240" w:lineRule="auto"/>
              <w:jc w:val="right"/>
              <w:rPr>
                <w:rFonts w:cs="Arial"/>
                <w:sz w:val="20"/>
              </w:rPr>
            </w:pPr>
          </w:p>
        </w:tc>
        <w:tc>
          <w:tcPr>
            <w:tcW w:w="1170" w:type="dxa"/>
            <w:tcBorders>
              <w:top w:val="nil"/>
              <w:left w:val="nil"/>
              <w:bottom w:val="nil"/>
              <w:right w:val="single" w:sz="4" w:space="0" w:color="auto"/>
            </w:tcBorders>
            <w:shd w:val="clear" w:color="auto" w:fill="auto"/>
            <w:noWrap/>
            <w:vAlign w:val="center"/>
            <w:hideMark/>
          </w:tcPr>
          <w:p w14:paraId="137020BE" w14:textId="77777777" w:rsidR="00632C2C" w:rsidRPr="00017022" w:rsidRDefault="00632C2C" w:rsidP="009214E8">
            <w:pPr>
              <w:spacing w:line="240" w:lineRule="auto"/>
              <w:jc w:val="right"/>
              <w:rPr>
                <w:rFonts w:cs="Arial"/>
                <w:sz w:val="20"/>
              </w:rPr>
            </w:pPr>
          </w:p>
        </w:tc>
      </w:tr>
      <w:tr w:rsidR="00632C2C" w:rsidRPr="00017022" w14:paraId="137020C5" w14:textId="77777777" w:rsidTr="00582F03">
        <w:trPr>
          <w:trHeight w:val="284"/>
        </w:trPr>
        <w:tc>
          <w:tcPr>
            <w:tcW w:w="4536"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137020C0" w14:textId="77777777" w:rsidR="00632C2C" w:rsidRPr="00017022" w:rsidRDefault="00632C2C" w:rsidP="009214E8">
            <w:pPr>
              <w:spacing w:line="240" w:lineRule="auto"/>
              <w:jc w:val="left"/>
              <w:rPr>
                <w:rFonts w:cs="Arial"/>
                <w:szCs w:val="22"/>
              </w:rPr>
            </w:pPr>
            <w:r w:rsidRPr="00017022">
              <w:rPr>
                <w:rFonts w:cs="Arial"/>
                <w:szCs w:val="22"/>
              </w:rPr>
              <w:t>Court summons costs recovered</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137020C1" w14:textId="77777777" w:rsidR="00632C2C" w:rsidRPr="00017022" w:rsidRDefault="00632C2C" w:rsidP="009214E8">
            <w:pPr>
              <w:spacing w:line="240" w:lineRule="auto"/>
              <w:jc w:val="right"/>
              <w:rPr>
                <w:rFonts w:cs="Arial"/>
                <w:szCs w:val="22"/>
              </w:rPr>
            </w:pPr>
            <w:r w:rsidRPr="00017022">
              <w:rPr>
                <w:rFonts w:cs="Arial"/>
                <w:szCs w:val="22"/>
              </w:rPr>
              <w:t>(213)</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137020C2" w14:textId="77777777" w:rsidR="00632C2C" w:rsidRPr="00017022" w:rsidRDefault="00632C2C" w:rsidP="009214E8">
            <w:pPr>
              <w:spacing w:line="240" w:lineRule="auto"/>
              <w:jc w:val="right"/>
              <w:rPr>
                <w:rFonts w:cs="Arial"/>
                <w:szCs w:val="22"/>
              </w:rPr>
            </w:pPr>
            <w:r w:rsidRPr="00017022">
              <w:rPr>
                <w:rFonts w:cs="Arial"/>
                <w:szCs w:val="22"/>
              </w:rPr>
              <w:t>(228)</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137020C3" w14:textId="77777777" w:rsidR="00632C2C" w:rsidRPr="00017022" w:rsidRDefault="00632C2C" w:rsidP="009214E8">
            <w:pPr>
              <w:spacing w:line="240" w:lineRule="auto"/>
              <w:jc w:val="right"/>
              <w:rPr>
                <w:rFonts w:cs="Arial"/>
                <w:szCs w:val="22"/>
              </w:rPr>
            </w:pPr>
            <w:r w:rsidRPr="00017022">
              <w:rPr>
                <w:rFonts w:cs="Arial"/>
                <w:szCs w:val="22"/>
              </w:rPr>
              <w:t>(228)</w:t>
            </w:r>
          </w:p>
        </w:tc>
        <w:tc>
          <w:tcPr>
            <w:tcW w:w="1170" w:type="dxa"/>
            <w:tcBorders>
              <w:top w:val="single" w:sz="4" w:space="0" w:color="BFBFBF"/>
              <w:left w:val="nil"/>
              <w:bottom w:val="single" w:sz="4" w:space="0" w:color="BFBFBF"/>
              <w:right w:val="single" w:sz="4" w:space="0" w:color="auto"/>
            </w:tcBorders>
            <w:shd w:val="clear" w:color="auto" w:fill="auto"/>
            <w:noWrap/>
            <w:vAlign w:val="center"/>
            <w:hideMark/>
          </w:tcPr>
          <w:p w14:paraId="137020C4" w14:textId="77777777" w:rsidR="00632C2C" w:rsidRPr="00017022" w:rsidRDefault="00632C2C" w:rsidP="009214E8">
            <w:pPr>
              <w:spacing w:line="240" w:lineRule="auto"/>
              <w:jc w:val="right"/>
              <w:rPr>
                <w:rFonts w:cs="Arial"/>
                <w:szCs w:val="22"/>
              </w:rPr>
            </w:pPr>
            <w:r w:rsidRPr="00017022">
              <w:rPr>
                <w:rFonts w:cs="Arial"/>
                <w:szCs w:val="22"/>
              </w:rPr>
              <w:t xml:space="preserve">-  </w:t>
            </w:r>
          </w:p>
        </w:tc>
      </w:tr>
      <w:tr w:rsidR="00632C2C" w:rsidRPr="00017022" w14:paraId="137020CB" w14:textId="77777777" w:rsidTr="00582F03">
        <w:trPr>
          <w:trHeight w:val="284"/>
        </w:trPr>
        <w:tc>
          <w:tcPr>
            <w:tcW w:w="4536" w:type="dxa"/>
            <w:tcBorders>
              <w:top w:val="nil"/>
              <w:left w:val="single" w:sz="4" w:space="0" w:color="auto"/>
              <w:bottom w:val="nil"/>
              <w:right w:val="nil"/>
            </w:tcBorders>
            <w:shd w:val="clear" w:color="auto" w:fill="auto"/>
            <w:noWrap/>
            <w:vAlign w:val="center"/>
            <w:hideMark/>
          </w:tcPr>
          <w:p w14:paraId="137020C6" w14:textId="77777777" w:rsidR="00632C2C" w:rsidRPr="00017022" w:rsidRDefault="00632C2C" w:rsidP="00E12977">
            <w:pPr>
              <w:spacing w:before="120" w:line="240" w:lineRule="auto"/>
              <w:jc w:val="left"/>
              <w:rPr>
                <w:rFonts w:cs="Arial"/>
                <w:b/>
                <w:bCs/>
                <w:szCs w:val="22"/>
              </w:rPr>
            </w:pPr>
            <w:r w:rsidRPr="00017022">
              <w:rPr>
                <w:rFonts w:cs="Arial"/>
                <w:b/>
                <w:bCs/>
                <w:szCs w:val="22"/>
              </w:rPr>
              <w:t>Budgets Not In Directorates</w:t>
            </w:r>
          </w:p>
        </w:tc>
        <w:tc>
          <w:tcPr>
            <w:tcW w:w="1169" w:type="dxa"/>
            <w:tcBorders>
              <w:top w:val="nil"/>
              <w:left w:val="nil"/>
              <w:bottom w:val="nil"/>
              <w:right w:val="nil"/>
            </w:tcBorders>
            <w:shd w:val="clear" w:color="auto" w:fill="auto"/>
            <w:vAlign w:val="center"/>
            <w:hideMark/>
          </w:tcPr>
          <w:p w14:paraId="137020C7" w14:textId="77777777" w:rsidR="00632C2C" w:rsidRPr="00017022" w:rsidRDefault="00632C2C" w:rsidP="009214E8">
            <w:pPr>
              <w:spacing w:line="240" w:lineRule="auto"/>
              <w:jc w:val="left"/>
              <w:rPr>
                <w:rFonts w:cs="Arial"/>
                <w:b/>
                <w:bCs/>
                <w:szCs w:val="22"/>
              </w:rPr>
            </w:pPr>
          </w:p>
        </w:tc>
        <w:tc>
          <w:tcPr>
            <w:tcW w:w="1169" w:type="dxa"/>
            <w:tcBorders>
              <w:top w:val="nil"/>
              <w:left w:val="nil"/>
              <w:bottom w:val="nil"/>
              <w:right w:val="nil"/>
            </w:tcBorders>
            <w:shd w:val="clear" w:color="auto" w:fill="auto"/>
            <w:vAlign w:val="center"/>
            <w:hideMark/>
          </w:tcPr>
          <w:p w14:paraId="137020C8" w14:textId="77777777" w:rsidR="00632C2C" w:rsidRPr="00017022" w:rsidRDefault="00632C2C" w:rsidP="009214E8">
            <w:pPr>
              <w:spacing w:line="240" w:lineRule="auto"/>
              <w:jc w:val="center"/>
              <w:rPr>
                <w:rFonts w:cs="Arial"/>
                <w:sz w:val="20"/>
              </w:rPr>
            </w:pPr>
          </w:p>
        </w:tc>
        <w:tc>
          <w:tcPr>
            <w:tcW w:w="1169" w:type="dxa"/>
            <w:tcBorders>
              <w:top w:val="nil"/>
              <w:left w:val="nil"/>
              <w:bottom w:val="nil"/>
              <w:right w:val="nil"/>
            </w:tcBorders>
            <w:shd w:val="clear" w:color="auto" w:fill="auto"/>
            <w:vAlign w:val="center"/>
            <w:hideMark/>
          </w:tcPr>
          <w:p w14:paraId="137020C9" w14:textId="77777777" w:rsidR="00632C2C" w:rsidRPr="00017022" w:rsidRDefault="00632C2C" w:rsidP="009214E8">
            <w:pPr>
              <w:spacing w:line="240" w:lineRule="auto"/>
              <w:jc w:val="center"/>
              <w:rPr>
                <w:rFonts w:cs="Arial"/>
                <w:sz w:val="20"/>
              </w:rPr>
            </w:pPr>
          </w:p>
        </w:tc>
        <w:tc>
          <w:tcPr>
            <w:tcW w:w="1170" w:type="dxa"/>
            <w:tcBorders>
              <w:top w:val="nil"/>
              <w:left w:val="nil"/>
              <w:bottom w:val="nil"/>
              <w:right w:val="single" w:sz="4" w:space="0" w:color="auto"/>
            </w:tcBorders>
            <w:shd w:val="clear" w:color="auto" w:fill="auto"/>
            <w:vAlign w:val="center"/>
            <w:hideMark/>
          </w:tcPr>
          <w:p w14:paraId="137020CA" w14:textId="77777777" w:rsidR="00632C2C" w:rsidRPr="00017022" w:rsidRDefault="00632C2C" w:rsidP="009214E8">
            <w:pPr>
              <w:spacing w:line="240" w:lineRule="auto"/>
              <w:jc w:val="center"/>
              <w:rPr>
                <w:rFonts w:cs="Arial"/>
                <w:sz w:val="20"/>
              </w:rPr>
            </w:pPr>
          </w:p>
        </w:tc>
      </w:tr>
      <w:tr w:rsidR="00632C2C" w:rsidRPr="00017022" w14:paraId="137020D1" w14:textId="77777777" w:rsidTr="00582F03">
        <w:trPr>
          <w:trHeight w:val="284"/>
        </w:trPr>
        <w:tc>
          <w:tcPr>
            <w:tcW w:w="4536" w:type="dxa"/>
            <w:tcBorders>
              <w:top w:val="single" w:sz="4" w:space="0" w:color="BFBFBF"/>
              <w:left w:val="single" w:sz="4" w:space="0" w:color="auto"/>
              <w:bottom w:val="single" w:sz="4" w:space="0" w:color="BFBFBF"/>
              <w:right w:val="single" w:sz="4" w:space="0" w:color="BFBFBF"/>
            </w:tcBorders>
            <w:shd w:val="clear" w:color="auto" w:fill="auto"/>
            <w:noWrap/>
            <w:vAlign w:val="center"/>
            <w:hideMark/>
          </w:tcPr>
          <w:p w14:paraId="137020CC" w14:textId="77777777" w:rsidR="00632C2C" w:rsidRPr="00017022" w:rsidRDefault="00632C2C" w:rsidP="009214E8">
            <w:pPr>
              <w:spacing w:line="240" w:lineRule="auto"/>
              <w:jc w:val="left"/>
              <w:rPr>
                <w:rFonts w:cs="Arial"/>
                <w:szCs w:val="22"/>
              </w:rPr>
            </w:pPr>
            <w:r w:rsidRPr="00017022">
              <w:rPr>
                <w:rFonts w:cs="Arial"/>
                <w:szCs w:val="22"/>
              </w:rPr>
              <w:t>Interest on investments</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137020CD" w14:textId="77777777" w:rsidR="00632C2C" w:rsidRPr="00017022" w:rsidRDefault="00632C2C" w:rsidP="009214E8">
            <w:pPr>
              <w:spacing w:line="240" w:lineRule="auto"/>
              <w:jc w:val="right"/>
              <w:rPr>
                <w:rFonts w:cs="Arial"/>
                <w:szCs w:val="22"/>
              </w:rPr>
            </w:pPr>
            <w:r w:rsidRPr="00017022">
              <w:rPr>
                <w:rFonts w:cs="Arial"/>
                <w:szCs w:val="22"/>
              </w:rPr>
              <w:t>(303)</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137020CE" w14:textId="77777777" w:rsidR="00632C2C" w:rsidRPr="00017022" w:rsidRDefault="00632C2C" w:rsidP="009214E8">
            <w:pPr>
              <w:spacing w:line="240" w:lineRule="auto"/>
              <w:jc w:val="right"/>
              <w:rPr>
                <w:rFonts w:cs="Arial"/>
                <w:szCs w:val="22"/>
              </w:rPr>
            </w:pPr>
            <w:r w:rsidRPr="00017022">
              <w:rPr>
                <w:rFonts w:cs="Arial"/>
                <w:szCs w:val="22"/>
              </w:rPr>
              <w:t>(220)</w:t>
            </w:r>
          </w:p>
        </w:tc>
        <w:tc>
          <w:tcPr>
            <w:tcW w:w="1169" w:type="dxa"/>
            <w:tcBorders>
              <w:top w:val="single" w:sz="4" w:space="0" w:color="BFBFBF"/>
              <w:left w:val="nil"/>
              <w:bottom w:val="single" w:sz="4" w:space="0" w:color="BFBFBF"/>
              <w:right w:val="single" w:sz="4" w:space="0" w:color="BFBFBF"/>
            </w:tcBorders>
            <w:shd w:val="clear" w:color="auto" w:fill="auto"/>
            <w:noWrap/>
            <w:vAlign w:val="center"/>
            <w:hideMark/>
          </w:tcPr>
          <w:p w14:paraId="137020CF" w14:textId="77777777" w:rsidR="00632C2C" w:rsidRPr="00017022" w:rsidRDefault="00632C2C" w:rsidP="009214E8">
            <w:pPr>
              <w:spacing w:line="240" w:lineRule="auto"/>
              <w:jc w:val="right"/>
              <w:rPr>
                <w:rFonts w:cs="Arial"/>
                <w:szCs w:val="22"/>
              </w:rPr>
            </w:pPr>
            <w:r w:rsidRPr="00017022">
              <w:rPr>
                <w:rFonts w:cs="Arial"/>
                <w:szCs w:val="22"/>
              </w:rPr>
              <w:t>(300)</w:t>
            </w:r>
          </w:p>
        </w:tc>
        <w:tc>
          <w:tcPr>
            <w:tcW w:w="1170" w:type="dxa"/>
            <w:tcBorders>
              <w:top w:val="single" w:sz="4" w:space="0" w:color="BFBFBF"/>
              <w:left w:val="nil"/>
              <w:bottom w:val="single" w:sz="4" w:space="0" w:color="BFBFBF"/>
              <w:right w:val="single" w:sz="4" w:space="0" w:color="auto"/>
            </w:tcBorders>
            <w:shd w:val="clear" w:color="auto" w:fill="auto"/>
            <w:noWrap/>
            <w:vAlign w:val="center"/>
            <w:hideMark/>
          </w:tcPr>
          <w:p w14:paraId="137020D0" w14:textId="77777777" w:rsidR="00632C2C" w:rsidRPr="00017022" w:rsidRDefault="00632C2C" w:rsidP="009214E8">
            <w:pPr>
              <w:spacing w:line="240" w:lineRule="auto"/>
              <w:jc w:val="right"/>
              <w:rPr>
                <w:rFonts w:cs="Arial"/>
                <w:szCs w:val="22"/>
              </w:rPr>
            </w:pPr>
            <w:r w:rsidRPr="00017022">
              <w:rPr>
                <w:rFonts w:cs="Arial"/>
                <w:szCs w:val="22"/>
              </w:rPr>
              <w:t>(80)</w:t>
            </w:r>
          </w:p>
        </w:tc>
      </w:tr>
      <w:tr w:rsidR="00632C2C" w:rsidRPr="00A67602" w14:paraId="137020D7" w14:textId="77777777" w:rsidTr="00582F03">
        <w:trPr>
          <w:trHeight w:val="227"/>
        </w:trPr>
        <w:tc>
          <w:tcPr>
            <w:tcW w:w="4536" w:type="dxa"/>
            <w:tcBorders>
              <w:top w:val="nil"/>
              <w:left w:val="single" w:sz="4" w:space="0" w:color="auto"/>
              <w:bottom w:val="nil"/>
              <w:right w:val="nil"/>
            </w:tcBorders>
            <w:shd w:val="clear" w:color="auto" w:fill="auto"/>
            <w:vAlign w:val="center"/>
            <w:hideMark/>
          </w:tcPr>
          <w:p w14:paraId="137020D2" w14:textId="77777777" w:rsidR="00632C2C" w:rsidRPr="00A67602" w:rsidRDefault="00632C2C" w:rsidP="009214E8">
            <w:pPr>
              <w:spacing w:line="240" w:lineRule="auto"/>
              <w:jc w:val="right"/>
              <w:rPr>
                <w:rFonts w:cs="Arial"/>
                <w:color w:val="000000"/>
                <w:szCs w:val="22"/>
              </w:rPr>
            </w:pPr>
          </w:p>
        </w:tc>
        <w:tc>
          <w:tcPr>
            <w:tcW w:w="1169" w:type="dxa"/>
            <w:tcBorders>
              <w:top w:val="nil"/>
              <w:left w:val="nil"/>
              <w:bottom w:val="nil"/>
              <w:right w:val="nil"/>
            </w:tcBorders>
            <w:shd w:val="clear" w:color="auto" w:fill="auto"/>
            <w:vAlign w:val="center"/>
            <w:hideMark/>
          </w:tcPr>
          <w:p w14:paraId="137020D3" w14:textId="77777777" w:rsidR="00632C2C" w:rsidRPr="00A67602" w:rsidRDefault="00632C2C" w:rsidP="009214E8">
            <w:pPr>
              <w:spacing w:line="240" w:lineRule="auto"/>
              <w:jc w:val="left"/>
              <w:rPr>
                <w:rFonts w:cs="Arial"/>
                <w:sz w:val="20"/>
              </w:rPr>
            </w:pPr>
          </w:p>
        </w:tc>
        <w:tc>
          <w:tcPr>
            <w:tcW w:w="1169" w:type="dxa"/>
            <w:tcBorders>
              <w:top w:val="nil"/>
              <w:left w:val="nil"/>
              <w:bottom w:val="nil"/>
              <w:right w:val="nil"/>
            </w:tcBorders>
            <w:shd w:val="clear" w:color="auto" w:fill="auto"/>
            <w:vAlign w:val="center"/>
            <w:hideMark/>
          </w:tcPr>
          <w:p w14:paraId="137020D4" w14:textId="77777777" w:rsidR="00632C2C" w:rsidRPr="00A67602" w:rsidRDefault="00632C2C" w:rsidP="009214E8">
            <w:pPr>
              <w:spacing w:line="240" w:lineRule="auto"/>
              <w:jc w:val="center"/>
              <w:rPr>
                <w:rFonts w:cs="Arial"/>
                <w:sz w:val="20"/>
              </w:rPr>
            </w:pPr>
          </w:p>
        </w:tc>
        <w:tc>
          <w:tcPr>
            <w:tcW w:w="1169" w:type="dxa"/>
            <w:tcBorders>
              <w:top w:val="nil"/>
              <w:left w:val="nil"/>
              <w:bottom w:val="nil"/>
              <w:right w:val="nil"/>
            </w:tcBorders>
            <w:shd w:val="clear" w:color="auto" w:fill="auto"/>
            <w:vAlign w:val="center"/>
            <w:hideMark/>
          </w:tcPr>
          <w:p w14:paraId="137020D5" w14:textId="77777777" w:rsidR="00632C2C" w:rsidRPr="00A67602" w:rsidRDefault="00632C2C" w:rsidP="009214E8">
            <w:pPr>
              <w:spacing w:line="240" w:lineRule="auto"/>
              <w:jc w:val="center"/>
              <w:rPr>
                <w:rFonts w:cs="Arial"/>
                <w:sz w:val="20"/>
              </w:rPr>
            </w:pPr>
          </w:p>
        </w:tc>
        <w:tc>
          <w:tcPr>
            <w:tcW w:w="1170" w:type="dxa"/>
            <w:tcBorders>
              <w:top w:val="nil"/>
              <w:left w:val="nil"/>
              <w:bottom w:val="nil"/>
              <w:right w:val="single" w:sz="4" w:space="0" w:color="auto"/>
            </w:tcBorders>
            <w:shd w:val="clear" w:color="auto" w:fill="auto"/>
            <w:vAlign w:val="center"/>
            <w:hideMark/>
          </w:tcPr>
          <w:p w14:paraId="137020D6" w14:textId="77777777" w:rsidR="00632C2C" w:rsidRPr="00A67602" w:rsidRDefault="00632C2C" w:rsidP="009214E8">
            <w:pPr>
              <w:spacing w:line="240" w:lineRule="auto"/>
              <w:jc w:val="center"/>
              <w:rPr>
                <w:rFonts w:cs="Arial"/>
                <w:sz w:val="20"/>
              </w:rPr>
            </w:pPr>
          </w:p>
        </w:tc>
      </w:tr>
      <w:tr w:rsidR="00632C2C" w:rsidRPr="00A67602" w14:paraId="137020DD" w14:textId="77777777" w:rsidTr="00582F03">
        <w:trPr>
          <w:trHeight w:val="284"/>
        </w:trPr>
        <w:tc>
          <w:tcPr>
            <w:tcW w:w="4536" w:type="dxa"/>
            <w:tcBorders>
              <w:top w:val="nil"/>
              <w:left w:val="single" w:sz="4" w:space="0" w:color="auto"/>
              <w:bottom w:val="single" w:sz="4" w:space="0" w:color="auto"/>
              <w:right w:val="nil"/>
            </w:tcBorders>
            <w:shd w:val="clear" w:color="auto" w:fill="auto"/>
            <w:noWrap/>
            <w:vAlign w:val="center"/>
          </w:tcPr>
          <w:p w14:paraId="137020D8" w14:textId="77777777" w:rsidR="00632C2C" w:rsidRPr="00E12977" w:rsidRDefault="00632C2C" w:rsidP="00E12977">
            <w:pPr>
              <w:spacing w:line="240" w:lineRule="auto"/>
              <w:jc w:val="left"/>
              <w:rPr>
                <w:rFonts w:cs="Arial"/>
                <w:b/>
                <w:bCs/>
                <w:szCs w:val="22"/>
              </w:rPr>
            </w:pPr>
          </w:p>
        </w:tc>
        <w:tc>
          <w:tcPr>
            <w:tcW w:w="1169" w:type="dxa"/>
            <w:tcBorders>
              <w:top w:val="single" w:sz="4" w:space="0" w:color="auto"/>
              <w:left w:val="nil"/>
              <w:bottom w:val="single" w:sz="4" w:space="0" w:color="auto"/>
              <w:right w:val="nil"/>
            </w:tcBorders>
            <w:shd w:val="clear" w:color="auto" w:fill="auto"/>
            <w:noWrap/>
            <w:vAlign w:val="center"/>
            <w:hideMark/>
          </w:tcPr>
          <w:p w14:paraId="137020D9" w14:textId="77777777" w:rsidR="00632C2C" w:rsidRPr="00EB6DD6" w:rsidRDefault="00632C2C" w:rsidP="00EB6DD6">
            <w:pPr>
              <w:spacing w:line="240" w:lineRule="auto"/>
              <w:jc w:val="right"/>
              <w:rPr>
                <w:rFonts w:cs="Arial"/>
                <w:b/>
                <w:bCs/>
                <w:szCs w:val="22"/>
              </w:rPr>
            </w:pPr>
            <w:r w:rsidRPr="00EB6DD6">
              <w:rPr>
                <w:rFonts w:cs="Arial"/>
                <w:b/>
                <w:bCs/>
                <w:szCs w:val="22"/>
              </w:rPr>
              <w:t>(4,8</w:t>
            </w:r>
            <w:r w:rsidR="00EB6DD6" w:rsidRPr="00EB6DD6">
              <w:rPr>
                <w:rFonts w:cs="Arial"/>
                <w:b/>
                <w:bCs/>
                <w:szCs w:val="22"/>
              </w:rPr>
              <w:t>23</w:t>
            </w:r>
            <w:r w:rsidRPr="00EB6DD6">
              <w:rPr>
                <w:rFonts w:cs="Arial"/>
                <w:b/>
                <w:bCs/>
                <w:szCs w:val="22"/>
              </w:rPr>
              <w:t>)</w:t>
            </w:r>
          </w:p>
        </w:tc>
        <w:tc>
          <w:tcPr>
            <w:tcW w:w="1169" w:type="dxa"/>
            <w:tcBorders>
              <w:top w:val="single" w:sz="4" w:space="0" w:color="auto"/>
              <w:left w:val="nil"/>
              <w:bottom w:val="single" w:sz="4" w:space="0" w:color="auto"/>
              <w:right w:val="nil"/>
            </w:tcBorders>
            <w:shd w:val="clear" w:color="auto" w:fill="auto"/>
            <w:noWrap/>
            <w:vAlign w:val="center"/>
            <w:hideMark/>
          </w:tcPr>
          <w:p w14:paraId="137020DA" w14:textId="77777777" w:rsidR="00632C2C" w:rsidRPr="00EB6DD6" w:rsidRDefault="00632C2C" w:rsidP="00EB6DD6">
            <w:pPr>
              <w:spacing w:line="240" w:lineRule="auto"/>
              <w:jc w:val="right"/>
              <w:rPr>
                <w:rFonts w:cs="Arial"/>
                <w:b/>
                <w:bCs/>
                <w:szCs w:val="22"/>
              </w:rPr>
            </w:pPr>
            <w:r w:rsidRPr="00EB6DD6">
              <w:rPr>
                <w:rFonts w:cs="Arial"/>
                <w:b/>
                <w:bCs/>
                <w:szCs w:val="22"/>
              </w:rPr>
              <w:t>(4,7</w:t>
            </w:r>
            <w:r w:rsidR="00EB6DD6" w:rsidRPr="00EB6DD6">
              <w:rPr>
                <w:rFonts w:cs="Arial"/>
                <w:b/>
                <w:bCs/>
                <w:szCs w:val="22"/>
              </w:rPr>
              <w:t>53</w:t>
            </w:r>
            <w:r w:rsidRPr="00EB6DD6">
              <w:rPr>
                <w:rFonts w:cs="Arial"/>
                <w:b/>
                <w:bCs/>
                <w:szCs w:val="22"/>
              </w:rPr>
              <w:t>)</w:t>
            </w:r>
          </w:p>
        </w:tc>
        <w:tc>
          <w:tcPr>
            <w:tcW w:w="1169" w:type="dxa"/>
            <w:tcBorders>
              <w:top w:val="single" w:sz="4" w:space="0" w:color="auto"/>
              <w:left w:val="nil"/>
              <w:bottom w:val="single" w:sz="4" w:space="0" w:color="auto"/>
              <w:right w:val="nil"/>
            </w:tcBorders>
            <w:shd w:val="clear" w:color="auto" w:fill="auto"/>
            <w:noWrap/>
            <w:vAlign w:val="center"/>
            <w:hideMark/>
          </w:tcPr>
          <w:p w14:paraId="137020DB" w14:textId="77777777" w:rsidR="00632C2C" w:rsidRPr="00EB6DD6" w:rsidRDefault="00632C2C" w:rsidP="00445F2F">
            <w:pPr>
              <w:spacing w:line="240" w:lineRule="auto"/>
              <w:jc w:val="right"/>
              <w:rPr>
                <w:rFonts w:cs="Arial"/>
                <w:b/>
                <w:bCs/>
                <w:szCs w:val="22"/>
              </w:rPr>
            </w:pPr>
            <w:r w:rsidRPr="00EB6DD6">
              <w:rPr>
                <w:rFonts w:cs="Arial"/>
                <w:b/>
                <w:bCs/>
                <w:szCs w:val="22"/>
              </w:rPr>
              <w:t>(</w:t>
            </w:r>
            <w:r w:rsidR="00EB6DD6" w:rsidRPr="00EB6DD6">
              <w:rPr>
                <w:rFonts w:cs="Arial"/>
                <w:b/>
                <w:bCs/>
                <w:szCs w:val="22"/>
              </w:rPr>
              <w:t>5</w:t>
            </w:r>
            <w:r w:rsidRPr="00EB6DD6">
              <w:rPr>
                <w:rFonts w:cs="Arial"/>
                <w:b/>
                <w:bCs/>
                <w:szCs w:val="22"/>
              </w:rPr>
              <w:t>,</w:t>
            </w:r>
            <w:r w:rsidR="00EB6DD6" w:rsidRPr="00EB6DD6">
              <w:rPr>
                <w:rFonts w:cs="Arial"/>
                <w:b/>
                <w:bCs/>
                <w:szCs w:val="22"/>
              </w:rPr>
              <w:t>0</w:t>
            </w:r>
            <w:r w:rsidR="00445F2F">
              <w:rPr>
                <w:rFonts w:cs="Arial"/>
                <w:b/>
                <w:bCs/>
                <w:szCs w:val="22"/>
              </w:rPr>
              <w:t>60</w:t>
            </w:r>
            <w:r w:rsidRPr="00EB6DD6">
              <w:rPr>
                <w:rFonts w:cs="Arial"/>
                <w:b/>
                <w:bCs/>
                <w:szCs w:val="22"/>
              </w:rPr>
              <w:t>)</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37020DC" w14:textId="77777777" w:rsidR="00632C2C" w:rsidRPr="00EB6DD6" w:rsidRDefault="00632C2C" w:rsidP="00445F2F">
            <w:pPr>
              <w:spacing w:line="240" w:lineRule="auto"/>
              <w:jc w:val="right"/>
              <w:rPr>
                <w:rFonts w:cs="Arial"/>
                <w:b/>
                <w:bCs/>
                <w:szCs w:val="22"/>
              </w:rPr>
            </w:pPr>
            <w:r w:rsidRPr="00EB6DD6">
              <w:rPr>
                <w:rFonts w:cs="Arial"/>
                <w:b/>
                <w:bCs/>
                <w:szCs w:val="22"/>
              </w:rPr>
              <w:t>(</w:t>
            </w:r>
            <w:r w:rsidR="00EB6DD6" w:rsidRPr="00EB6DD6">
              <w:rPr>
                <w:rFonts w:cs="Arial"/>
                <w:b/>
                <w:bCs/>
                <w:szCs w:val="22"/>
              </w:rPr>
              <w:t>3</w:t>
            </w:r>
            <w:r w:rsidR="00445F2F">
              <w:rPr>
                <w:rFonts w:cs="Arial"/>
                <w:b/>
                <w:bCs/>
                <w:szCs w:val="22"/>
              </w:rPr>
              <w:t>07</w:t>
            </w:r>
            <w:r w:rsidRPr="00EB6DD6">
              <w:rPr>
                <w:rFonts w:cs="Arial"/>
                <w:b/>
                <w:bCs/>
                <w:szCs w:val="22"/>
              </w:rPr>
              <w:t>)</w:t>
            </w:r>
          </w:p>
        </w:tc>
      </w:tr>
    </w:tbl>
    <w:p w14:paraId="137020DE" w14:textId="77777777" w:rsidR="002C4A0A" w:rsidRDefault="002C4A0A" w:rsidP="00582F03">
      <w:pPr>
        <w:spacing w:after="160" w:line="259" w:lineRule="auto"/>
        <w:jc w:val="left"/>
      </w:pPr>
      <w:r>
        <w:br w:type="page"/>
      </w:r>
    </w:p>
    <w:p w14:paraId="137020DF" w14:textId="77777777" w:rsidR="00B2079D" w:rsidRDefault="00B2079D" w:rsidP="00582F03">
      <w:pPr>
        <w:pStyle w:val="ListParagraph"/>
        <w:ind w:left="955"/>
      </w:pPr>
      <w:r>
        <w:lastRenderedPageBreak/>
        <w:t>The main income variations are as follows:</w:t>
      </w:r>
    </w:p>
    <w:p w14:paraId="137020E0" w14:textId="77777777" w:rsidR="00B2079D" w:rsidRDefault="00B2079D" w:rsidP="00582F03">
      <w:pPr>
        <w:pStyle w:val="ListParagraph"/>
        <w:numPr>
          <w:ilvl w:val="1"/>
          <w:numId w:val="5"/>
        </w:numPr>
        <w:ind w:left="1327"/>
      </w:pPr>
      <w:r>
        <w:t>Community Sports Coaching – the funding in respect of the bikeability scheme has been confirmed but was uncertain and therefore not included in the original budgets. This income is ring-fenced and will be spent on providing the service and therefore is not expected to impact on the final outturn position.</w:t>
      </w:r>
    </w:p>
    <w:p w14:paraId="137020E1" w14:textId="77777777" w:rsidR="00B2079D" w:rsidRDefault="00B2079D" w:rsidP="00582F03">
      <w:pPr>
        <w:pStyle w:val="ListParagraph"/>
        <w:numPr>
          <w:ilvl w:val="1"/>
          <w:numId w:val="5"/>
        </w:numPr>
        <w:ind w:left="1327"/>
      </w:pPr>
      <w:r>
        <w:t>Civic Centre rentals – the forecast has been updated to reflect the final agreements with DWP in respect of the lease and related service charges.</w:t>
      </w:r>
    </w:p>
    <w:p w14:paraId="137020E2" w14:textId="77777777" w:rsidR="00B2079D" w:rsidRDefault="00B2079D" w:rsidP="00582F03">
      <w:pPr>
        <w:pStyle w:val="ListParagraph"/>
        <w:numPr>
          <w:ilvl w:val="1"/>
          <w:numId w:val="5"/>
        </w:numPr>
        <w:ind w:left="1327"/>
      </w:pPr>
      <w:r>
        <w:t xml:space="preserve">Garden Waste Charges – the revised forecast reflects that the </w:t>
      </w:r>
      <w:r w:rsidR="00DE2A9B">
        <w:t>subscriptions</w:t>
      </w:r>
      <w:r>
        <w:t xml:space="preserve"> in 2019/20 is consistent with the last financial year</w:t>
      </w:r>
      <w:r w:rsidR="00DE2A9B">
        <w:t>.</w:t>
      </w:r>
      <w:r>
        <w:t xml:space="preserve">  </w:t>
      </w:r>
    </w:p>
    <w:p w14:paraId="137020E3" w14:textId="77777777" w:rsidR="00B2079D" w:rsidRDefault="00B2079D" w:rsidP="00582F03">
      <w:pPr>
        <w:pStyle w:val="ListParagraph"/>
        <w:numPr>
          <w:ilvl w:val="1"/>
          <w:numId w:val="5"/>
        </w:numPr>
        <w:ind w:left="1327"/>
      </w:pPr>
      <w:r>
        <w:t xml:space="preserve">Pre-Planning </w:t>
      </w:r>
      <w:r w:rsidR="00DE2A9B">
        <w:t xml:space="preserve">advice </w:t>
      </w:r>
      <w:r>
        <w:t xml:space="preserve">income </w:t>
      </w:r>
      <w:r w:rsidR="00DE2A9B">
        <w:t>– this was a new charge which has been introduced during 2018/19 but take-up is l</w:t>
      </w:r>
      <w:r w:rsidR="00A069E7">
        <w:t>ower than originally forecast.</w:t>
      </w:r>
    </w:p>
    <w:p w14:paraId="137020E4" w14:textId="77777777" w:rsidR="00A069E7" w:rsidRDefault="00A069E7" w:rsidP="00582F03">
      <w:pPr>
        <w:ind w:left="967"/>
      </w:pPr>
    </w:p>
    <w:p w14:paraId="137020E5" w14:textId="77777777" w:rsidR="00812150" w:rsidRPr="00721E65" w:rsidRDefault="00812150" w:rsidP="00582F03">
      <w:pPr>
        <w:spacing w:after="120"/>
        <w:ind w:left="244"/>
        <w:jc w:val="left"/>
        <w:rPr>
          <w:b/>
          <w:color w:val="2E74B5" w:themeColor="accent1" w:themeShade="BF"/>
        </w:rPr>
      </w:pPr>
      <w:r w:rsidRPr="00721E65">
        <w:rPr>
          <w:b/>
          <w:color w:val="2E74B5" w:themeColor="accent1" w:themeShade="BF"/>
        </w:rPr>
        <w:t>Interest on Cash Investments</w:t>
      </w:r>
      <w:r w:rsidRPr="002C2140">
        <w:rPr>
          <w:noProof/>
        </w:rPr>
        <w:t xml:space="preserve"> </w:t>
      </w:r>
    </w:p>
    <w:p w14:paraId="137020E6" w14:textId="77777777" w:rsidR="00812150" w:rsidRDefault="00812150" w:rsidP="00582F03">
      <w:pPr>
        <w:pStyle w:val="ListParagraph"/>
        <w:ind w:left="955"/>
      </w:pPr>
      <w:r>
        <w:t>The forecast for Short-term investment income has been revised to £300,000 to reflect increased balances and in line with interest earned in 2018/19 which out-turned at £302,500. This is an increase in £80,000 in the current estimate of £80,000.</w:t>
      </w:r>
    </w:p>
    <w:p w14:paraId="137020E7" w14:textId="77777777" w:rsidR="00812150" w:rsidRDefault="00812150" w:rsidP="00582F03">
      <w:pPr>
        <w:jc w:val="left"/>
      </w:pPr>
    </w:p>
    <w:p w14:paraId="137020E8" w14:textId="77777777" w:rsidR="00812150" w:rsidRDefault="00812150" w:rsidP="00582F03">
      <w:pPr>
        <w:pStyle w:val="ListParagraph"/>
        <w:ind w:left="955"/>
        <w:jc w:val="left"/>
      </w:pPr>
      <w:r>
        <w:t>Return on investments and comparisons to the previous reporting period are set out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2042"/>
        <w:gridCol w:w="1701"/>
        <w:gridCol w:w="1178"/>
        <w:gridCol w:w="1605"/>
      </w:tblGrid>
      <w:tr w:rsidR="00812150" w:rsidRPr="00A069E7" w14:paraId="137020F1" w14:textId="77777777" w:rsidTr="00582F03">
        <w:trPr>
          <w:trHeight w:val="697"/>
          <w:jc w:val="center"/>
        </w:trPr>
        <w:tc>
          <w:tcPr>
            <w:tcW w:w="1486" w:type="dxa"/>
            <w:shd w:val="clear" w:color="auto" w:fill="D9D9D9" w:themeFill="background1" w:themeFillShade="D9"/>
            <w:vAlign w:val="center"/>
          </w:tcPr>
          <w:p w14:paraId="137020E9" w14:textId="77777777" w:rsidR="00812150" w:rsidRPr="00450CF4" w:rsidRDefault="00812150" w:rsidP="008A38DF">
            <w:pPr>
              <w:jc w:val="center"/>
              <w:rPr>
                <w:b/>
              </w:rPr>
            </w:pPr>
            <w:r w:rsidRPr="00450CF4">
              <w:rPr>
                <w:b/>
              </w:rPr>
              <w:t>Year</w:t>
            </w:r>
          </w:p>
        </w:tc>
        <w:tc>
          <w:tcPr>
            <w:tcW w:w="2042" w:type="dxa"/>
            <w:shd w:val="clear" w:color="auto" w:fill="D9D9D9" w:themeFill="background1" w:themeFillShade="D9"/>
            <w:vAlign w:val="center"/>
            <w:hideMark/>
          </w:tcPr>
          <w:p w14:paraId="137020EA" w14:textId="77777777" w:rsidR="00812150" w:rsidRPr="00450CF4" w:rsidRDefault="00812150" w:rsidP="008A38DF">
            <w:pPr>
              <w:jc w:val="center"/>
              <w:rPr>
                <w:b/>
              </w:rPr>
            </w:pPr>
            <w:r w:rsidRPr="00450CF4">
              <w:rPr>
                <w:b/>
              </w:rPr>
              <w:t>Average Balance</w:t>
            </w:r>
          </w:p>
          <w:p w14:paraId="137020EB" w14:textId="77777777" w:rsidR="00812150" w:rsidRPr="00450CF4" w:rsidRDefault="00812150" w:rsidP="008A38DF">
            <w:pPr>
              <w:jc w:val="center"/>
              <w:rPr>
                <w:b/>
              </w:rPr>
            </w:pPr>
            <w:r w:rsidRPr="00450CF4">
              <w:rPr>
                <w:b/>
              </w:rPr>
              <w:t xml:space="preserve">Periods 1 - </w:t>
            </w:r>
            <w:r>
              <w:rPr>
                <w:b/>
              </w:rPr>
              <w:t>4</w:t>
            </w:r>
          </w:p>
        </w:tc>
        <w:tc>
          <w:tcPr>
            <w:tcW w:w="1701" w:type="dxa"/>
            <w:shd w:val="clear" w:color="auto" w:fill="D9D9D9" w:themeFill="background1" w:themeFillShade="D9"/>
            <w:vAlign w:val="center"/>
            <w:hideMark/>
          </w:tcPr>
          <w:p w14:paraId="137020EC" w14:textId="77777777" w:rsidR="00812150" w:rsidRPr="00450CF4" w:rsidRDefault="00812150" w:rsidP="008A38DF">
            <w:pPr>
              <w:jc w:val="center"/>
              <w:rPr>
                <w:b/>
              </w:rPr>
            </w:pPr>
            <w:r w:rsidRPr="00450CF4">
              <w:rPr>
                <w:b/>
              </w:rPr>
              <w:t>Average Rate</w:t>
            </w:r>
          </w:p>
          <w:p w14:paraId="137020ED" w14:textId="77777777" w:rsidR="00812150" w:rsidRPr="00450CF4" w:rsidRDefault="00812150" w:rsidP="008A38DF">
            <w:pPr>
              <w:jc w:val="center"/>
              <w:rPr>
                <w:b/>
              </w:rPr>
            </w:pPr>
            <w:r w:rsidRPr="00450CF4">
              <w:rPr>
                <w:b/>
              </w:rPr>
              <w:t xml:space="preserve">Periods 1- </w:t>
            </w:r>
            <w:r>
              <w:rPr>
                <w:b/>
              </w:rPr>
              <w:t>4</w:t>
            </w:r>
          </w:p>
        </w:tc>
        <w:tc>
          <w:tcPr>
            <w:tcW w:w="1178" w:type="dxa"/>
            <w:shd w:val="clear" w:color="auto" w:fill="D9D9D9" w:themeFill="background1" w:themeFillShade="D9"/>
            <w:vAlign w:val="center"/>
            <w:hideMark/>
          </w:tcPr>
          <w:p w14:paraId="137020EE" w14:textId="77777777" w:rsidR="00812150" w:rsidRPr="00450CF4" w:rsidRDefault="00812150" w:rsidP="008A38DF">
            <w:pPr>
              <w:jc w:val="center"/>
              <w:rPr>
                <w:b/>
              </w:rPr>
            </w:pPr>
            <w:r w:rsidRPr="00450CF4">
              <w:rPr>
                <w:b/>
              </w:rPr>
              <w:t>No. of days</w:t>
            </w:r>
          </w:p>
        </w:tc>
        <w:tc>
          <w:tcPr>
            <w:tcW w:w="1605" w:type="dxa"/>
            <w:shd w:val="clear" w:color="auto" w:fill="D9D9D9" w:themeFill="background1" w:themeFillShade="D9"/>
            <w:vAlign w:val="center"/>
            <w:hideMark/>
          </w:tcPr>
          <w:p w14:paraId="137020EF" w14:textId="77777777" w:rsidR="00812150" w:rsidRPr="00450CF4" w:rsidRDefault="00812150" w:rsidP="008A38DF">
            <w:pPr>
              <w:jc w:val="center"/>
              <w:rPr>
                <w:b/>
              </w:rPr>
            </w:pPr>
            <w:r w:rsidRPr="00450CF4">
              <w:rPr>
                <w:b/>
              </w:rPr>
              <w:t>Interest</w:t>
            </w:r>
          </w:p>
          <w:p w14:paraId="137020F0" w14:textId="77777777" w:rsidR="00812150" w:rsidRPr="00450CF4" w:rsidRDefault="00812150" w:rsidP="008A38DF">
            <w:pPr>
              <w:jc w:val="center"/>
              <w:rPr>
                <w:b/>
              </w:rPr>
            </w:pPr>
            <w:r w:rsidRPr="00450CF4">
              <w:rPr>
                <w:b/>
              </w:rPr>
              <w:t xml:space="preserve">Earned </w:t>
            </w:r>
          </w:p>
        </w:tc>
      </w:tr>
      <w:tr w:rsidR="00812150" w:rsidRPr="00A069E7" w14:paraId="137020F7" w14:textId="77777777" w:rsidTr="00582F03">
        <w:trPr>
          <w:trHeight w:hRule="exact" w:val="454"/>
          <w:jc w:val="center"/>
        </w:trPr>
        <w:tc>
          <w:tcPr>
            <w:tcW w:w="1486" w:type="dxa"/>
            <w:shd w:val="clear" w:color="auto" w:fill="auto"/>
            <w:vAlign w:val="center"/>
            <w:hideMark/>
          </w:tcPr>
          <w:p w14:paraId="137020F2" w14:textId="77777777" w:rsidR="00812150" w:rsidRPr="00A069E7" w:rsidRDefault="00812150" w:rsidP="008A38DF">
            <w:pPr>
              <w:jc w:val="center"/>
              <w:rPr>
                <w:rFonts w:ascii="Calibri" w:hAnsi="Calibri"/>
              </w:rPr>
            </w:pPr>
            <w:r w:rsidRPr="00A069E7">
              <w:t>2018/19</w:t>
            </w:r>
          </w:p>
        </w:tc>
        <w:tc>
          <w:tcPr>
            <w:tcW w:w="2042" w:type="dxa"/>
            <w:shd w:val="clear" w:color="auto" w:fill="auto"/>
            <w:vAlign w:val="center"/>
          </w:tcPr>
          <w:p w14:paraId="137020F3" w14:textId="77777777" w:rsidR="00812150" w:rsidRPr="00A069E7" w:rsidRDefault="00812150" w:rsidP="008A38DF">
            <w:pPr>
              <w:jc w:val="center"/>
              <w:rPr>
                <w:rFonts w:ascii="Calibri" w:hAnsi="Calibri"/>
              </w:rPr>
            </w:pPr>
            <w:r w:rsidRPr="00A069E7">
              <w:rPr>
                <w:rFonts w:cs="Arial"/>
              </w:rPr>
              <w:t>£3</w:t>
            </w:r>
            <w:r>
              <w:rPr>
                <w:rFonts w:cs="Arial"/>
              </w:rPr>
              <w:t>6</w:t>
            </w:r>
            <w:r w:rsidRPr="00A069E7">
              <w:rPr>
                <w:rFonts w:cs="Arial"/>
              </w:rPr>
              <w:t>,</w:t>
            </w:r>
            <w:r>
              <w:rPr>
                <w:rFonts w:cs="Arial"/>
              </w:rPr>
              <w:t>140</w:t>
            </w:r>
            <w:r w:rsidRPr="00A069E7">
              <w:rPr>
                <w:rFonts w:cs="Arial"/>
              </w:rPr>
              <w:t>,</w:t>
            </w:r>
            <w:r>
              <w:rPr>
                <w:rFonts w:cs="Arial"/>
              </w:rPr>
              <w:t>673</w:t>
            </w:r>
          </w:p>
        </w:tc>
        <w:tc>
          <w:tcPr>
            <w:tcW w:w="1701" w:type="dxa"/>
            <w:shd w:val="clear" w:color="auto" w:fill="auto"/>
            <w:vAlign w:val="center"/>
          </w:tcPr>
          <w:p w14:paraId="137020F4" w14:textId="77777777" w:rsidR="00812150" w:rsidRPr="00A069E7" w:rsidRDefault="00812150" w:rsidP="008A38DF">
            <w:pPr>
              <w:jc w:val="center"/>
            </w:pPr>
            <w:r w:rsidRPr="00A069E7">
              <w:rPr>
                <w:rFonts w:cs="Arial"/>
              </w:rPr>
              <w:t>0.63%</w:t>
            </w:r>
          </w:p>
        </w:tc>
        <w:tc>
          <w:tcPr>
            <w:tcW w:w="1178" w:type="dxa"/>
            <w:shd w:val="clear" w:color="auto" w:fill="auto"/>
            <w:vAlign w:val="center"/>
          </w:tcPr>
          <w:p w14:paraId="137020F5" w14:textId="77777777" w:rsidR="00812150" w:rsidRPr="00A069E7" w:rsidRDefault="00812150" w:rsidP="008A38DF">
            <w:pPr>
              <w:jc w:val="center"/>
              <w:rPr>
                <w:rFonts w:ascii="Calibri" w:hAnsi="Calibri"/>
              </w:rPr>
            </w:pPr>
            <w:r>
              <w:rPr>
                <w:rFonts w:cs="Arial"/>
              </w:rPr>
              <w:t xml:space="preserve">102 </w:t>
            </w:r>
            <w:r w:rsidRPr="00A069E7">
              <w:rPr>
                <w:rFonts w:cs="Arial"/>
              </w:rPr>
              <w:t>/</w:t>
            </w:r>
            <w:r>
              <w:rPr>
                <w:rFonts w:cs="Arial"/>
              </w:rPr>
              <w:t xml:space="preserve"> </w:t>
            </w:r>
            <w:r w:rsidRPr="00A069E7">
              <w:rPr>
                <w:rFonts w:cs="Arial"/>
              </w:rPr>
              <w:t>365</w:t>
            </w:r>
          </w:p>
        </w:tc>
        <w:tc>
          <w:tcPr>
            <w:tcW w:w="1605" w:type="dxa"/>
            <w:shd w:val="clear" w:color="auto" w:fill="auto"/>
            <w:vAlign w:val="center"/>
          </w:tcPr>
          <w:p w14:paraId="137020F6" w14:textId="77777777" w:rsidR="00812150" w:rsidRPr="00A069E7" w:rsidRDefault="00812150" w:rsidP="008A38DF">
            <w:pPr>
              <w:jc w:val="center"/>
            </w:pPr>
            <w:r w:rsidRPr="00A069E7">
              <w:t>£</w:t>
            </w:r>
            <w:r>
              <w:t>75</w:t>
            </w:r>
            <w:r w:rsidRPr="00A069E7">
              <w:t>,</w:t>
            </w:r>
            <w:r>
              <w:t>624</w:t>
            </w:r>
          </w:p>
        </w:tc>
      </w:tr>
      <w:tr w:rsidR="00812150" w:rsidRPr="00A069E7" w14:paraId="137020FD" w14:textId="77777777" w:rsidTr="00582F03">
        <w:trPr>
          <w:trHeight w:hRule="exact" w:val="454"/>
          <w:jc w:val="center"/>
        </w:trPr>
        <w:tc>
          <w:tcPr>
            <w:tcW w:w="1486" w:type="dxa"/>
            <w:shd w:val="clear" w:color="auto" w:fill="auto"/>
            <w:vAlign w:val="center"/>
          </w:tcPr>
          <w:p w14:paraId="137020F8" w14:textId="77777777" w:rsidR="00812150" w:rsidRPr="00A069E7" w:rsidRDefault="00812150" w:rsidP="008A38DF">
            <w:pPr>
              <w:jc w:val="center"/>
            </w:pPr>
            <w:r w:rsidRPr="00A069E7">
              <w:t>2019/20</w:t>
            </w:r>
          </w:p>
        </w:tc>
        <w:tc>
          <w:tcPr>
            <w:tcW w:w="2042" w:type="dxa"/>
            <w:shd w:val="clear" w:color="auto" w:fill="auto"/>
            <w:vAlign w:val="center"/>
          </w:tcPr>
          <w:p w14:paraId="137020F9" w14:textId="77777777" w:rsidR="00812150" w:rsidRPr="00A069E7" w:rsidRDefault="00812150" w:rsidP="008A38DF">
            <w:pPr>
              <w:jc w:val="center"/>
              <w:rPr>
                <w:rFonts w:cs="Arial"/>
              </w:rPr>
            </w:pPr>
            <w:r w:rsidRPr="00A069E7">
              <w:rPr>
                <w:rFonts w:cs="Arial"/>
              </w:rPr>
              <w:t>£3</w:t>
            </w:r>
            <w:r>
              <w:rPr>
                <w:rFonts w:cs="Arial"/>
              </w:rPr>
              <w:t>8</w:t>
            </w:r>
            <w:r w:rsidRPr="00A069E7">
              <w:rPr>
                <w:rFonts w:cs="Arial"/>
              </w:rPr>
              <w:t>,</w:t>
            </w:r>
            <w:r>
              <w:rPr>
                <w:rFonts w:cs="Arial"/>
              </w:rPr>
              <w:t>341</w:t>
            </w:r>
            <w:r w:rsidRPr="00A069E7">
              <w:rPr>
                <w:rFonts w:cs="Arial"/>
              </w:rPr>
              <w:t>,</w:t>
            </w:r>
            <w:r>
              <w:rPr>
                <w:rFonts w:cs="Arial"/>
              </w:rPr>
              <w:t>575</w:t>
            </w:r>
          </w:p>
        </w:tc>
        <w:tc>
          <w:tcPr>
            <w:tcW w:w="1701" w:type="dxa"/>
            <w:shd w:val="clear" w:color="auto" w:fill="auto"/>
            <w:vAlign w:val="center"/>
          </w:tcPr>
          <w:p w14:paraId="137020FA" w14:textId="77777777" w:rsidR="00812150" w:rsidRPr="00A069E7" w:rsidRDefault="00812150" w:rsidP="008A38DF">
            <w:pPr>
              <w:jc w:val="center"/>
              <w:rPr>
                <w:rFonts w:cs="Arial"/>
              </w:rPr>
            </w:pPr>
            <w:r w:rsidRPr="00A069E7">
              <w:rPr>
                <w:rFonts w:cs="Arial"/>
              </w:rPr>
              <w:t>0.9</w:t>
            </w:r>
            <w:r>
              <w:rPr>
                <w:rFonts w:cs="Arial"/>
              </w:rPr>
              <w:t>3</w:t>
            </w:r>
            <w:r w:rsidRPr="00A069E7">
              <w:rPr>
                <w:rFonts w:cs="Arial"/>
              </w:rPr>
              <w:t>%</w:t>
            </w:r>
          </w:p>
        </w:tc>
        <w:tc>
          <w:tcPr>
            <w:tcW w:w="1178" w:type="dxa"/>
            <w:shd w:val="clear" w:color="auto" w:fill="auto"/>
            <w:vAlign w:val="center"/>
          </w:tcPr>
          <w:p w14:paraId="137020FB" w14:textId="77777777" w:rsidR="00812150" w:rsidRPr="00A069E7" w:rsidRDefault="00812150" w:rsidP="008A38DF">
            <w:pPr>
              <w:jc w:val="center"/>
              <w:rPr>
                <w:rFonts w:cs="Arial"/>
              </w:rPr>
            </w:pPr>
            <w:r>
              <w:rPr>
                <w:rFonts w:cs="Arial"/>
              </w:rPr>
              <w:t xml:space="preserve">102 </w:t>
            </w:r>
            <w:r w:rsidRPr="00A069E7">
              <w:rPr>
                <w:rFonts w:cs="Arial"/>
              </w:rPr>
              <w:t>/</w:t>
            </w:r>
            <w:r>
              <w:rPr>
                <w:rFonts w:cs="Arial"/>
              </w:rPr>
              <w:t xml:space="preserve"> </w:t>
            </w:r>
            <w:r w:rsidRPr="00A069E7">
              <w:rPr>
                <w:rFonts w:cs="Arial"/>
              </w:rPr>
              <w:t>365</w:t>
            </w:r>
          </w:p>
        </w:tc>
        <w:tc>
          <w:tcPr>
            <w:tcW w:w="1605" w:type="dxa"/>
            <w:shd w:val="clear" w:color="auto" w:fill="auto"/>
            <w:vAlign w:val="center"/>
          </w:tcPr>
          <w:p w14:paraId="137020FC" w14:textId="77777777" w:rsidR="00812150" w:rsidRPr="00A069E7" w:rsidRDefault="00812150" w:rsidP="008A38DF">
            <w:pPr>
              <w:jc w:val="center"/>
            </w:pPr>
            <w:r w:rsidRPr="00A069E7">
              <w:t>£</w:t>
            </w:r>
            <w:r>
              <w:t>119,276</w:t>
            </w:r>
          </w:p>
        </w:tc>
      </w:tr>
    </w:tbl>
    <w:p w14:paraId="137020FE" w14:textId="77777777" w:rsidR="00812150" w:rsidRDefault="00812150" w:rsidP="00582F03">
      <w:pPr>
        <w:ind w:left="244"/>
      </w:pPr>
    </w:p>
    <w:p w14:paraId="137020FF" w14:textId="77777777" w:rsidR="00812150" w:rsidRPr="002C2140" w:rsidRDefault="00812150" w:rsidP="00582F03">
      <w:pPr>
        <w:pStyle w:val="ListParagraph"/>
        <w:ind w:left="955"/>
        <w:rPr>
          <w:b/>
          <w:color w:val="0070C0"/>
        </w:rPr>
      </w:pPr>
      <w:r w:rsidRPr="00AB29FB">
        <w:t xml:space="preserve">The average return </w:t>
      </w:r>
      <w:r>
        <w:t xml:space="preserve">achieved over the full year </w:t>
      </w:r>
      <w:r w:rsidRPr="00AB29FB">
        <w:t xml:space="preserve">2018/19 </w:t>
      </w:r>
      <w:r>
        <w:t xml:space="preserve">was 0.76% </w:t>
      </w:r>
      <w:r w:rsidRPr="00AB29FB">
        <w:t xml:space="preserve">compares to 0.49% achieved in </w:t>
      </w:r>
      <w:r>
        <w:t>2017/18 which r</w:t>
      </w:r>
      <w:r w:rsidRPr="00AB29FB">
        <w:t>eflect</w:t>
      </w:r>
      <w:r>
        <w:t xml:space="preserve">ed </w:t>
      </w:r>
      <w:r w:rsidRPr="00AB29FB">
        <w:t xml:space="preserve">the gradual increase in interest rates. </w:t>
      </w:r>
      <w:r>
        <w:t>The Bank Rate was increased from 0.50% to 0.75% in August 2018. During 2018/19 it</w:t>
      </w:r>
      <w:r w:rsidRPr="00AB29FB">
        <w:t xml:space="preserve"> proved necessary to use the Debt Management Office’s Debt Management Account Deposit Facility for short periods when balances with other counterparties had reached the maximum approved by Council. This </w:t>
      </w:r>
      <w:r>
        <w:t xml:space="preserve">results in lower returns and this was </w:t>
      </w:r>
      <w:r w:rsidRPr="00AB29FB">
        <w:t>avoided later in the year by an increase in the maximum investment per UK bank or local authority from £5m to £6m</w:t>
      </w:r>
      <w:r>
        <w:t xml:space="preserve"> in the council’s approved Investment Strategy</w:t>
      </w:r>
      <w:r w:rsidRPr="00AB29FB">
        <w:t>.</w:t>
      </w:r>
      <w:r>
        <w:t xml:space="preserve"> </w:t>
      </w:r>
    </w:p>
    <w:p w14:paraId="13702100" w14:textId="77777777" w:rsidR="00812150" w:rsidRDefault="00812150" w:rsidP="00582F03">
      <w:pPr>
        <w:pStyle w:val="Heading2"/>
        <w:ind w:left="601"/>
      </w:pPr>
    </w:p>
    <w:p w14:paraId="13702101" w14:textId="77777777" w:rsidR="005D7544" w:rsidRDefault="005D7544" w:rsidP="00582F03">
      <w:pPr>
        <w:pStyle w:val="Heading2"/>
        <w:ind w:left="601"/>
      </w:pPr>
      <w:r>
        <w:t>Reserves</w:t>
      </w:r>
    </w:p>
    <w:p w14:paraId="13702102" w14:textId="77777777" w:rsidR="00F80A0C" w:rsidRDefault="00F80A0C" w:rsidP="00582F03">
      <w:pPr>
        <w:pStyle w:val="ListParagraph"/>
        <w:ind w:left="955"/>
      </w:pPr>
      <w:r>
        <w:t xml:space="preserve">The total </w:t>
      </w:r>
      <w:r w:rsidR="00A069E7">
        <w:t xml:space="preserve">balance on </w:t>
      </w:r>
      <w:r>
        <w:t>reserves at the beginning of the financial year</w:t>
      </w:r>
      <w:r w:rsidR="00A069E7">
        <w:t xml:space="preserve"> was £19.519m</w:t>
      </w:r>
      <w:r w:rsidR="00EF486C">
        <w:t xml:space="preserve">, which </w:t>
      </w:r>
      <w:r>
        <w:t xml:space="preserve">was £1.190m higher than the </w:t>
      </w:r>
      <w:r w:rsidR="00A069E7">
        <w:t>f</w:t>
      </w:r>
      <w:r>
        <w:t>orecast in the budget report in February 2019</w:t>
      </w:r>
      <w:r w:rsidR="00EF486C">
        <w:t>.  The main reasons for this were</w:t>
      </w:r>
      <w:r>
        <w:t>:</w:t>
      </w:r>
    </w:p>
    <w:p w14:paraId="13702103" w14:textId="77777777" w:rsidR="00F80A0C" w:rsidRDefault="00F80A0C" w:rsidP="00582F03">
      <w:pPr>
        <w:pStyle w:val="ListParagraph"/>
        <w:numPr>
          <w:ilvl w:val="1"/>
          <w:numId w:val="5"/>
        </w:numPr>
        <w:ind w:left="1327"/>
      </w:pPr>
      <w:r>
        <w:t>Budget savings of £93,000 against the 2018/19 revised budget which increased the forecast general reserve balance from £4.587m to £4.680m at outturn</w:t>
      </w:r>
    </w:p>
    <w:p w14:paraId="13702104" w14:textId="77777777" w:rsidR="00487A4B" w:rsidRDefault="00F80A0C" w:rsidP="00582F03">
      <w:pPr>
        <w:pStyle w:val="ListParagraph"/>
        <w:numPr>
          <w:ilvl w:val="1"/>
          <w:numId w:val="5"/>
        </w:numPr>
        <w:ind w:left="1327"/>
      </w:pPr>
      <w:r>
        <w:t>Reduction in funding of capital projects from reserves due to the re</w:t>
      </w:r>
      <w:r w:rsidR="004303D0">
        <w:t>-</w:t>
      </w:r>
      <w:r>
        <w:t>phasing of capital expenditure</w:t>
      </w:r>
      <w:r w:rsidR="00AC2DE2">
        <w:t xml:space="preserve"> (£331,000)</w:t>
      </w:r>
    </w:p>
    <w:p w14:paraId="13702105" w14:textId="77777777" w:rsidR="00F80A0C" w:rsidRDefault="00487A4B" w:rsidP="00582F03">
      <w:pPr>
        <w:pStyle w:val="ListParagraph"/>
        <w:numPr>
          <w:ilvl w:val="1"/>
          <w:numId w:val="5"/>
        </w:numPr>
        <w:ind w:left="1327"/>
      </w:pPr>
      <w:r>
        <w:lastRenderedPageBreak/>
        <w:t xml:space="preserve">Slippage of expenditure committed at the end of 2018/19 but undertaken in 2019/20 </w:t>
      </w:r>
      <w:r w:rsidR="00F80A0C">
        <w:t xml:space="preserve"> </w:t>
      </w:r>
      <w:r w:rsidR="001B1B87">
        <w:t xml:space="preserve"> (£189,000)</w:t>
      </w:r>
    </w:p>
    <w:p w14:paraId="13702106" w14:textId="77777777" w:rsidR="001B1B87" w:rsidRDefault="001B1B87" w:rsidP="00582F03">
      <w:pPr>
        <w:pStyle w:val="ListParagraph"/>
        <w:numPr>
          <w:ilvl w:val="1"/>
          <w:numId w:val="5"/>
        </w:numPr>
        <w:ind w:left="1327"/>
      </w:pPr>
      <w:r>
        <w:t>Grants received and set aside to be used in future years (£386,000). This includes external funding for Central Lancs Local Plan and New Burdens grant.</w:t>
      </w:r>
    </w:p>
    <w:p w14:paraId="13702107" w14:textId="77777777" w:rsidR="001B1B87" w:rsidRDefault="001B1B87" w:rsidP="00582F03">
      <w:pPr>
        <w:pStyle w:val="ListParagraph"/>
        <w:numPr>
          <w:ilvl w:val="1"/>
          <w:numId w:val="5"/>
        </w:numPr>
        <w:ind w:left="1327"/>
      </w:pPr>
      <w:r>
        <w:t>Business Rates surplus set aside in Earmarked reserve (£196,000)</w:t>
      </w:r>
    </w:p>
    <w:p w14:paraId="13702108" w14:textId="77777777" w:rsidR="0058500B" w:rsidRDefault="0058500B" w:rsidP="00582F03">
      <w:pPr>
        <w:ind w:left="955" w:hanging="360"/>
      </w:pPr>
    </w:p>
    <w:p w14:paraId="13702109" w14:textId="77777777" w:rsidR="0058500B" w:rsidRDefault="0058500B" w:rsidP="00582F03">
      <w:pPr>
        <w:pStyle w:val="ListParagraph"/>
        <w:ind w:left="955"/>
      </w:pPr>
      <w:r>
        <w:t>Table 4 below shows the forec</w:t>
      </w:r>
      <w:r w:rsidR="00D73FBA">
        <w:t>asted movements on the reserves for 2019-20.</w:t>
      </w:r>
    </w:p>
    <w:p w14:paraId="1370210A" w14:textId="77777777" w:rsidR="0058500B" w:rsidRDefault="0058500B" w:rsidP="00582F03">
      <w:pPr>
        <w:spacing w:after="160" w:line="259" w:lineRule="auto"/>
        <w:jc w:val="left"/>
        <w:rPr>
          <w:b/>
        </w:rPr>
      </w:pPr>
    </w:p>
    <w:p w14:paraId="1370210B" w14:textId="77777777" w:rsidR="0058500B" w:rsidRDefault="0058500B" w:rsidP="00582F03">
      <w:pPr>
        <w:pStyle w:val="Heading3"/>
      </w:pPr>
      <w:r>
        <w:t>Table 4: Reserves Summary</w:t>
      </w:r>
    </w:p>
    <w:p w14:paraId="1370210C" w14:textId="77777777" w:rsidR="005D7544" w:rsidRDefault="005D7544" w:rsidP="00582F03"/>
    <w:tbl>
      <w:tblPr>
        <w:tblW w:w="9497" w:type="dxa"/>
        <w:tblInd w:w="30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381"/>
        <w:gridCol w:w="1223"/>
        <w:gridCol w:w="1223"/>
        <w:gridCol w:w="1223"/>
        <w:gridCol w:w="1223"/>
        <w:gridCol w:w="1224"/>
      </w:tblGrid>
      <w:tr w:rsidR="0088690F" w:rsidRPr="0088690F" w14:paraId="13702118" w14:textId="77777777" w:rsidTr="00582F03">
        <w:trPr>
          <w:trHeight w:val="397"/>
        </w:trPr>
        <w:tc>
          <w:tcPr>
            <w:tcW w:w="3381" w:type="dxa"/>
            <w:tcBorders>
              <w:top w:val="single" w:sz="4" w:space="0" w:color="auto"/>
              <w:left w:val="single" w:sz="4" w:space="0" w:color="auto"/>
              <w:bottom w:val="single" w:sz="4" w:space="0" w:color="auto"/>
            </w:tcBorders>
            <w:shd w:val="clear" w:color="000000" w:fill="D9D9D9" w:themeFill="background1" w:themeFillShade="D9"/>
            <w:noWrap/>
            <w:vAlign w:val="center"/>
            <w:hideMark/>
          </w:tcPr>
          <w:p w14:paraId="1370210D" w14:textId="77777777" w:rsidR="0088690F" w:rsidRPr="0088690F" w:rsidRDefault="0058500B" w:rsidP="00571449">
            <w:pPr>
              <w:spacing w:line="240" w:lineRule="auto"/>
              <w:jc w:val="left"/>
              <w:rPr>
                <w:rFonts w:cs="Arial"/>
                <w:bCs/>
                <w:szCs w:val="22"/>
              </w:rPr>
            </w:pPr>
            <w:r>
              <w:rPr>
                <w:rFonts w:cs="Arial"/>
                <w:bCs/>
                <w:szCs w:val="22"/>
              </w:rPr>
              <w:t>Reserve Name</w:t>
            </w:r>
          </w:p>
        </w:tc>
        <w:tc>
          <w:tcPr>
            <w:tcW w:w="1223" w:type="dxa"/>
            <w:tcBorders>
              <w:top w:val="single" w:sz="4" w:space="0" w:color="auto"/>
              <w:bottom w:val="single" w:sz="4" w:space="0" w:color="auto"/>
            </w:tcBorders>
            <w:shd w:val="clear" w:color="000000" w:fill="D9D9D9" w:themeFill="background1" w:themeFillShade="D9"/>
            <w:tcMar>
              <w:left w:w="57" w:type="dxa"/>
              <w:right w:w="57" w:type="dxa"/>
            </w:tcMar>
            <w:vAlign w:val="center"/>
            <w:hideMark/>
          </w:tcPr>
          <w:p w14:paraId="1370210E" w14:textId="77777777" w:rsidR="0088690F" w:rsidRDefault="0088690F" w:rsidP="0088690F">
            <w:pPr>
              <w:spacing w:line="240" w:lineRule="auto"/>
              <w:jc w:val="center"/>
              <w:rPr>
                <w:rFonts w:cs="Arial"/>
                <w:bCs/>
                <w:szCs w:val="22"/>
              </w:rPr>
            </w:pPr>
            <w:r>
              <w:rPr>
                <w:rFonts w:cs="Arial"/>
                <w:bCs/>
                <w:szCs w:val="22"/>
              </w:rPr>
              <w:t xml:space="preserve">Opening </w:t>
            </w:r>
            <w:r w:rsidRPr="0088690F">
              <w:rPr>
                <w:rFonts w:cs="Arial"/>
                <w:bCs/>
                <w:szCs w:val="22"/>
              </w:rPr>
              <w:t>Balance</w:t>
            </w:r>
          </w:p>
          <w:p w14:paraId="1370210F" w14:textId="77777777" w:rsidR="0088690F" w:rsidRPr="0088690F" w:rsidRDefault="0088690F" w:rsidP="0088690F">
            <w:pPr>
              <w:spacing w:line="240" w:lineRule="auto"/>
              <w:jc w:val="center"/>
              <w:rPr>
                <w:rFonts w:cs="Arial"/>
                <w:bCs/>
                <w:szCs w:val="22"/>
              </w:rPr>
            </w:pPr>
            <w:r>
              <w:rPr>
                <w:rFonts w:cs="Arial"/>
                <w:bCs/>
                <w:szCs w:val="22"/>
              </w:rPr>
              <w:t>£’000</w:t>
            </w:r>
          </w:p>
        </w:tc>
        <w:tc>
          <w:tcPr>
            <w:tcW w:w="1223" w:type="dxa"/>
            <w:tcBorders>
              <w:top w:val="single" w:sz="4" w:space="0" w:color="auto"/>
              <w:bottom w:val="single" w:sz="4" w:space="0" w:color="auto"/>
            </w:tcBorders>
            <w:shd w:val="clear" w:color="000000" w:fill="D9D9D9" w:themeFill="background1" w:themeFillShade="D9"/>
            <w:tcMar>
              <w:left w:w="57" w:type="dxa"/>
              <w:right w:w="57" w:type="dxa"/>
            </w:tcMar>
            <w:vAlign w:val="center"/>
            <w:hideMark/>
          </w:tcPr>
          <w:p w14:paraId="13702110" w14:textId="77777777" w:rsidR="0088690F" w:rsidRDefault="0088690F" w:rsidP="0088690F">
            <w:pPr>
              <w:spacing w:line="240" w:lineRule="auto"/>
              <w:jc w:val="center"/>
              <w:rPr>
                <w:rFonts w:cs="Arial"/>
                <w:bCs/>
                <w:szCs w:val="22"/>
              </w:rPr>
            </w:pPr>
            <w:r w:rsidRPr="0088690F">
              <w:rPr>
                <w:rFonts w:cs="Arial"/>
                <w:bCs/>
                <w:szCs w:val="22"/>
              </w:rPr>
              <w:t>Transfers In</w:t>
            </w:r>
          </w:p>
          <w:p w14:paraId="13702111" w14:textId="77777777" w:rsidR="0088690F" w:rsidRPr="0088690F" w:rsidRDefault="0088690F" w:rsidP="0088690F">
            <w:pPr>
              <w:spacing w:line="240" w:lineRule="auto"/>
              <w:jc w:val="center"/>
              <w:rPr>
                <w:rFonts w:cs="Arial"/>
                <w:bCs/>
                <w:szCs w:val="22"/>
              </w:rPr>
            </w:pPr>
            <w:r>
              <w:rPr>
                <w:rFonts w:cs="Arial"/>
                <w:bCs/>
                <w:szCs w:val="22"/>
              </w:rPr>
              <w:t>£’000</w:t>
            </w:r>
          </w:p>
        </w:tc>
        <w:tc>
          <w:tcPr>
            <w:tcW w:w="1223" w:type="dxa"/>
            <w:tcBorders>
              <w:top w:val="single" w:sz="4" w:space="0" w:color="auto"/>
              <w:bottom w:val="single" w:sz="4" w:space="0" w:color="auto"/>
            </w:tcBorders>
            <w:shd w:val="clear" w:color="000000" w:fill="D9D9D9" w:themeFill="background1" w:themeFillShade="D9"/>
            <w:tcMar>
              <w:left w:w="57" w:type="dxa"/>
              <w:right w:w="57" w:type="dxa"/>
            </w:tcMar>
            <w:vAlign w:val="center"/>
            <w:hideMark/>
          </w:tcPr>
          <w:p w14:paraId="13702112" w14:textId="77777777" w:rsidR="0088690F" w:rsidRDefault="0088690F" w:rsidP="0088690F">
            <w:pPr>
              <w:spacing w:line="240" w:lineRule="auto"/>
              <w:jc w:val="center"/>
              <w:rPr>
                <w:rFonts w:cs="Arial"/>
                <w:bCs/>
                <w:szCs w:val="22"/>
              </w:rPr>
            </w:pPr>
            <w:r>
              <w:rPr>
                <w:rFonts w:cs="Arial"/>
                <w:bCs/>
                <w:szCs w:val="22"/>
              </w:rPr>
              <w:t>Transfers Out</w:t>
            </w:r>
          </w:p>
          <w:p w14:paraId="13702113" w14:textId="77777777" w:rsidR="0088690F" w:rsidRPr="0088690F" w:rsidRDefault="0088690F" w:rsidP="0088690F">
            <w:pPr>
              <w:spacing w:line="240" w:lineRule="auto"/>
              <w:jc w:val="center"/>
              <w:rPr>
                <w:rFonts w:cs="Arial"/>
                <w:bCs/>
                <w:szCs w:val="22"/>
              </w:rPr>
            </w:pPr>
            <w:r>
              <w:rPr>
                <w:rFonts w:cs="Arial"/>
                <w:bCs/>
                <w:szCs w:val="22"/>
              </w:rPr>
              <w:t>£’000</w:t>
            </w:r>
          </w:p>
        </w:tc>
        <w:tc>
          <w:tcPr>
            <w:tcW w:w="1223" w:type="dxa"/>
            <w:tcBorders>
              <w:top w:val="single" w:sz="4" w:space="0" w:color="auto"/>
              <w:bottom w:val="single" w:sz="4" w:space="0" w:color="auto"/>
            </w:tcBorders>
            <w:shd w:val="clear" w:color="000000" w:fill="D9D9D9" w:themeFill="background1" w:themeFillShade="D9"/>
            <w:tcMar>
              <w:left w:w="57" w:type="dxa"/>
              <w:right w:w="57" w:type="dxa"/>
            </w:tcMar>
            <w:vAlign w:val="center"/>
            <w:hideMark/>
          </w:tcPr>
          <w:p w14:paraId="13702114" w14:textId="77777777" w:rsidR="0088690F" w:rsidRDefault="0088690F" w:rsidP="0088690F">
            <w:pPr>
              <w:spacing w:line="240" w:lineRule="auto"/>
              <w:jc w:val="center"/>
              <w:rPr>
                <w:rFonts w:cs="Arial"/>
                <w:bCs/>
                <w:szCs w:val="22"/>
              </w:rPr>
            </w:pPr>
            <w:r>
              <w:rPr>
                <w:rFonts w:cs="Arial"/>
                <w:bCs/>
                <w:szCs w:val="22"/>
              </w:rPr>
              <w:t>Capital Financing</w:t>
            </w:r>
          </w:p>
          <w:p w14:paraId="13702115" w14:textId="77777777" w:rsidR="0088690F" w:rsidRPr="0088690F" w:rsidRDefault="0088690F" w:rsidP="0088690F">
            <w:pPr>
              <w:spacing w:line="240" w:lineRule="auto"/>
              <w:jc w:val="center"/>
              <w:rPr>
                <w:rFonts w:cs="Arial"/>
                <w:bCs/>
                <w:szCs w:val="22"/>
              </w:rPr>
            </w:pPr>
            <w:r>
              <w:rPr>
                <w:rFonts w:cs="Arial"/>
                <w:bCs/>
                <w:szCs w:val="22"/>
              </w:rPr>
              <w:t>£’000</w:t>
            </w:r>
          </w:p>
        </w:tc>
        <w:tc>
          <w:tcPr>
            <w:tcW w:w="1224" w:type="dxa"/>
            <w:tcBorders>
              <w:top w:val="single" w:sz="4" w:space="0" w:color="auto"/>
              <w:bottom w:val="single" w:sz="4" w:space="0" w:color="auto"/>
              <w:right w:val="single" w:sz="4" w:space="0" w:color="auto"/>
            </w:tcBorders>
            <w:shd w:val="clear" w:color="000000" w:fill="D9D9D9" w:themeFill="background1" w:themeFillShade="D9"/>
            <w:tcMar>
              <w:left w:w="57" w:type="dxa"/>
              <w:right w:w="57" w:type="dxa"/>
            </w:tcMar>
            <w:vAlign w:val="center"/>
            <w:hideMark/>
          </w:tcPr>
          <w:p w14:paraId="13702116" w14:textId="77777777" w:rsidR="0088690F" w:rsidRDefault="0088690F" w:rsidP="0088690F">
            <w:pPr>
              <w:spacing w:line="240" w:lineRule="auto"/>
              <w:jc w:val="center"/>
              <w:rPr>
                <w:rFonts w:cs="Arial"/>
                <w:bCs/>
                <w:szCs w:val="22"/>
              </w:rPr>
            </w:pPr>
            <w:r>
              <w:rPr>
                <w:rFonts w:cs="Arial"/>
                <w:bCs/>
                <w:szCs w:val="22"/>
              </w:rPr>
              <w:t>Closing Balance</w:t>
            </w:r>
          </w:p>
          <w:p w14:paraId="13702117" w14:textId="77777777" w:rsidR="0088690F" w:rsidRPr="0088690F" w:rsidRDefault="0088690F" w:rsidP="0088690F">
            <w:pPr>
              <w:spacing w:line="240" w:lineRule="auto"/>
              <w:jc w:val="center"/>
              <w:rPr>
                <w:rFonts w:cs="Arial"/>
                <w:bCs/>
                <w:szCs w:val="22"/>
              </w:rPr>
            </w:pPr>
            <w:r>
              <w:rPr>
                <w:rFonts w:cs="Arial"/>
                <w:bCs/>
                <w:szCs w:val="22"/>
              </w:rPr>
              <w:t>£’000</w:t>
            </w:r>
          </w:p>
        </w:tc>
      </w:tr>
      <w:tr w:rsidR="004C3CE1" w:rsidRPr="00571449" w14:paraId="1370211F" w14:textId="77777777" w:rsidTr="00582F03">
        <w:trPr>
          <w:trHeight w:val="397"/>
        </w:trPr>
        <w:tc>
          <w:tcPr>
            <w:tcW w:w="3381" w:type="dxa"/>
            <w:tcBorders>
              <w:top w:val="single" w:sz="4" w:space="0" w:color="auto"/>
            </w:tcBorders>
            <w:shd w:val="clear" w:color="auto" w:fill="auto"/>
            <w:noWrap/>
            <w:vAlign w:val="center"/>
            <w:hideMark/>
          </w:tcPr>
          <w:p w14:paraId="13702119" w14:textId="77777777" w:rsidR="004C3CE1" w:rsidRPr="00571449" w:rsidRDefault="004C3CE1" w:rsidP="004C3CE1">
            <w:pPr>
              <w:spacing w:line="240" w:lineRule="auto"/>
              <w:jc w:val="left"/>
              <w:rPr>
                <w:rFonts w:cs="Arial"/>
                <w:b/>
                <w:bCs/>
                <w:color w:val="000000"/>
                <w:szCs w:val="22"/>
              </w:rPr>
            </w:pPr>
            <w:r w:rsidRPr="00571449">
              <w:rPr>
                <w:rFonts w:cs="Arial"/>
                <w:b/>
                <w:bCs/>
                <w:color w:val="000000"/>
                <w:szCs w:val="22"/>
              </w:rPr>
              <w:t>Earmarked Reserves</w:t>
            </w:r>
          </w:p>
        </w:tc>
        <w:tc>
          <w:tcPr>
            <w:tcW w:w="1223" w:type="dxa"/>
            <w:tcBorders>
              <w:top w:val="single" w:sz="4" w:space="0" w:color="auto"/>
            </w:tcBorders>
            <w:shd w:val="clear" w:color="auto" w:fill="auto"/>
            <w:noWrap/>
            <w:tcMar>
              <w:right w:w="170" w:type="dxa"/>
            </w:tcMar>
            <w:vAlign w:val="center"/>
          </w:tcPr>
          <w:p w14:paraId="1370211A" w14:textId="77777777" w:rsidR="004C3CE1" w:rsidRPr="00571449" w:rsidRDefault="004C3CE1" w:rsidP="004C3CE1">
            <w:pPr>
              <w:spacing w:line="240" w:lineRule="auto"/>
              <w:jc w:val="right"/>
              <w:rPr>
                <w:rFonts w:cs="Arial"/>
                <w:szCs w:val="22"/>
              </w:rPr>
            </w:pPr>
          </w:p>
        </w:tc>
        <w:tc>
          <w:tcPr>
            <w:tcW w:w="1223" w:type="dxa"/>
            <w:tcBorders>
              <w:top w:val="single" w:sz="4" w:space="0" w:color="auto"/>
            </w:tcBorders>
            <w:shd w:val="clear" w:color="auto" w:fill="auto"/>
            <w:noWrap/>
            <w:tcMar>
              <w:right w:w="170" w:type="dxa"/>
            </w:tcMar>
            <w:vAlign w:val="center"/>
          </w:tcPr>
          <w:p w14:paraId="1370211B" w14:textId="77777777" w:rsidR="004C3CE1" w:rsidRPr="00571449" w:rsidRDefault="004C3CE1" w:rsidP="004C3CE1">
            <w:pPr>
              <w:spacing w:line="240" w:lineRule="auto"/>
              <w:jc w:val="right"/>
              <w:rPr>
                <w:rFonts w:cs="Arial"/>
                <w:szCs w:val="22"/>
              </w:rPr>
            </w:pPr>
          </w:p>
        </w:tc>
        <w:tc>
          <w:tcPr>
            <w:tcW w:w="1223" w:type="dxa"/>
            <w:tcBorders>
              <w:top w:val="single" w:sz="4" w:space="0" w:color="auto"/>
            </w:tcBorders>
            <w:shd w:val="clear" w:color="auto" w:fill="auto"/>
            <w:noWrap/>
            <w:tcMar>
              <w:right w:w="170" w:type="dxa"/>
            </w:tcMar>
            <w:vAlign w:val="center"/>
          </w:tcPr>
          <w:p w14:paraId="1370211C" w14:textId="77777777" w:rsidR="004C3CE1" w:rsidRPr="00571449" w:rsidRDefault="004C3CE1" w:rsidP="004C3CE1">
            <w:pPr>
              <w:spacing w:line="240" w:lineRule="auto"/>
              <w:jc w:val="right"/>
              <w:rPr>
                <w:rFonts w:cs="Arial"/>
                <w:szCs w:val="22"/>
              </w:rPr>
            </w:pPr>
          </w:p>
        </w:tc>
        <w:tc>
          <w:tcPr>
            <w:tcW w:w="1223" w:type="dxa"/>
            <w:tcBorders>
              <w:top w:val="single" w:sz="4" w:space="0" w:color="auto"/>
            </w:tcBorders>
            <w:shd w:val="clear" w:color="auto" w:fill="auto"/>
            <w:noWrap/>
            <w:tcMar>
              <w:right w:w="170" w:type="dxa"/>
            </w:tcMar>
            <w:vAlign w:val="center"/>
          </w:tcPr>
          <w:p w14:paraId="1370211D" w14:textId="77777777" w:rsidR="004C3CE1" w:rsidRPr="00571449" w:rsidRDefault="004C3CE1" w:rsidP="004C3CE1">
            <w:pPr>
              <w:spacing w:line="240" w:lineRule="auto"/>
              <w:jc w:val="right"/>
              <w:rPr>
                <w:rFonts w:cs="Arial"/>
                <w:szCs w:val="22"/>
              </w:rPr>
            </w:pPr>
          </w:p>
        </w:tc>
        <w:tc>
          <w:tcPr>
            <w:tcW w:w="1224" w:type="dxa"/>
            <w:tcBorders>
              <w:top w:val="single" w:sz="4" w:space="0" w:color="auto"/>
            </w:tcBorders>
            <w:shd w:val="clear" w:color="auto" w:fill="auto"/>
            <w:noWrap/>
            <w:tcMar>
              <w:right w:w="170" w:type="dxa"/>
            </w:tcMar>
            <w:vAlign w:val="center"/>
          </w:tcPr>
          <w:p w14:paraId="1370211E" w14:textId="77777777" w:rsidR="004C3CE1" w:rsidRPr="00571449" w:rsidRDefault="004C3CE1" w:rsidP="004C3CE1">
            <w:pPr>
              <w:spacing w:line="240" w:lineRule="auto"/>
              <w:jc w:val="right"/>
              <w:rPr>
                <w:rFonts w:cs="Arial"/>
                <w:szCs w:val="22"/>
              </w:rPr>
            </w:pPr>
          </w:p>
        </w:tc>
      </w:tr>
      <w:tr w:rsidR="004C3CE1" w:rsidRPr="00571449" w14:paraId="13702126" w14:textId="77777777" w:rsidTr="00582F03">
        <w:trPr>
          <w:trHeight w:val="397"/>
        </w:trPr>
        <w:tc>
          <w:tcPr>
            <w:tcW w:w="3381" w:type="dxa"/>
            <w:shd w:val="clear" w:color="auto" w:fill="auto"/>
            <w:noWrap/>
            <w:vAlign w:val="center"/>
            <w:hideMark/>
          </w:tcPr>
          <w:p w14:paraId="13702120" w14:textId="77777777" w:rsidR="004C3CE1" w:rsidRPr="00571449" w:rsidRDefault="004C3CE1" w:rsidP="004C3CE1">
            <w:pPr>
              <w:spacing w:line="240" w:lineRule="auto"/>
              <w:jc w:val="left"/>
              <w:rPr>
                <w:rFonts w:cs="Arial"/>
                <w:szCs w:val="22"/>
              </w:rPr>
            </w:pPr>
            <w:r w:rsidRPr="00571449">
              <w:rPr>
                <w:rFonts w:cs="Arial"/>
                <w:szCs w:val="22"/>
              </w:rPr>
              <w:t>My Neighbourhoods</w:t>
            </w:r>
          </w:p>
        </w:tc>
        <w:tc>
          <w:tcPr>
            <w:tcW w:w="1223" w:type="dxa"/>
            <w:shd w:val="clear" w:color="auto" w:fill="auto"/>
            <w:noWrap/>
            <w:tcMar>
              <w:right w:w="170" w:type="dxa"/>
            </w:tcMar>
            <w:vAlign w:val="center"/>
            <w:hideMark/>
          </w:tcPr>
          <w:p w14:paraId="13702121" w14:textId="77777777" w:rsidR="004C3CE1" w:rsidRPr="00571449" w:rsidRDefault="004C3CE1" w:rsidP="004C3CE1">
            <w:pPr>
              <w:spacing w:line="240" w:lineRule="auto"/>
              <w:jc w:val="right"/>
              <w:rPr>
                <w:rFonts w:cs="Arial"/>
                <w:szCs w:val="22"/>
              </w:rPr>
            </w:pPr>
            <w:r w:rsidRPr="00571449">
              <w:rPr>
                <w:rFonts w:cs="Arial"/>
                <w:szCs w:val="22"/>
              </w:rPr>
              <w:t>(54)</w:t>
            </w:r>
          </w:p>
        </w:tc>
        <w:tc>
          <w:tcPr>
            <w:tcW w:w="1223" w:type="dxa"/>
            <w:shd w:val="clear" w:color="auto" w:fill="auto"/>
            <w:noWrap/>
            <w:tcMar>
              <w:right w:w="170" w:type="dxa"/>
            </w:tcMar>
            <w:vAlign w:val="center"/>
            <w:hideMark/>
          </w:tcPr>
          <w:p w14:paraId="13702122" w14:textId="77777777" w:rsidR="004C3CE1" w:rsidRPr="00571449" w:rsidRDefault="004C3CE1" w:rsidP="004C3CE1">
            <w:pPr>
              <w:spacing w:line="240" w:lineRule="auto"/>
              <w:jc w:val="right"/>
              <w:rPr>
                <w:rFonts w:cs="Arial"/>
                <w:szCs w:val="22"/>
              </w:rPr>
            </w:pPr>
            <w:r>
              <w:rPr>
                <w:rFonts w:cs="Arial"/>
                <w:szCs w:val="22"/>
              </w:rPr>
              <w:t>-</w:t>
            </w:r>
          </w:p>
        </w:tc>
        <w:tc>
          <w:tcPr>
            <w:tcW w:w="1223" w:type="dxa"/>
            <w:shd w:val="clear" w:color="auto" w:fill="auto"/>
            <w:noWrap/>
            <w:tcMar>
              <w:right w:w="170" w:type="dxa"/>
            </w:tcMar>
            <w:vAlign w:val="center"/>
            <w:hideMark/>
          </w:tcPr>
          <w:p w14:paraId="13702123" w14:textId="77777777" w:rsidR="004C3CE1" w:rsidRPr="00571449" w:rsidRDefault="004C3CE1" w:rsidP="004C3CE1">
            <w:pPr>
              <w:spacing w:line="240" w:lineRule="auto"/>
              <w:jc w:val="right"/>
              <w:rPr>
                <w:rFonts w:cs="Arial"/>
                <w:szCs w:val="22"/>
              </w:rPr>
            </w:pPr>
            <w:r>
              <w:rPr>
                <w:rFonts w:cs="Arial"/>
                <w:szCs w:val="22"/>
              </w:rPr>
              <w:t>-</w:t>
            </w:r>
          </w:p>
        </w:tc>
        <w:tc>
          <w:tcPr>
            <w:tcW w:w="1223" w:type="dxa"/>
            <w:shd w:val="clear" w:color="auto" w:fill="auto"/>
            <w:noWrap/>
            <w:tcMar>
              <w:right w:w="170" w:type="dxa"/>
            </w:tcMar>
            <w:vAlign w:val="center"/>
            <w:hideMark/>
          </w:tcPr>
          <w:p w14:paraId="13702124" w14:textId="77777777" w:rsidR="004C3CE1" w:rsidRPr="00571449" w:rsidRDefault="004C3CE1" w:rsidP="004C3CE1">
            <w:pPr>
              <w:spacing w:line="240" w:lineRule="auto"/>
              <w:jc w:val="right"/>
              <w:rPr>
                <w:rFonts w:cs="Arial"/>
                <w:szCs w:val="22"/>
              </w:rPr>
            </w:pPr>
            <w:r>
              <w:rPr>
                <w:rFonts w:cs="Arial"/>
                <w:szCs w:val="22"/>
              </w:rPr>
              <w:t>-</w:t>
            </w:r>
          </w:p>
        </w:tc>
        <w:tc>
          <w:tcPr>
            <w:tcW w:w="1224" w:type="dxa"/>
            <w:shd w:val="clear" w:color="auto" w:fill="auto"/>
            <w:noWrap/>
            <w:tcMar>
              <w:right w:w="170" w:type="dxa"/>
            </w:tcMar>
            <w:vAlign w:val="center"/>
            <w:hideMark/>
          </w:tcPr>
          <w:p w14:paraId="13702125" w14:textId="77777777" w:rsidR="004C3CE1" w:rsidRPr="00571449" w:rsidRDefault="004C3CE1" w:rsidP="004C3CE1">
            <w:pPr>
              <w:spacing w:line="240" w:lineRule="auto"/>
              <w:jc w:val="right"/>
              <w:rPr>
                <w:rFonts w:cs="Arial"/>
                <w:szCs w:val="22"/>
              </w:rPr>
            </w:pPr>
            <w:r w:rsidRPr="00571449">
              <w:rPr>
                <w:rFonts w:cs="Arial"/>
                <w:szCs w:val="22"/>
              </w:rPr>
              <w:t>(54)</w:t>
            </w:r>
          </w:p>
        </w:tc>
      </w:tr>
      <w:tr w:rsidR="004C3CE1" w:rsidRPr="00571449" w14:paraId="1370212D" w14:textId="77777777" w:rsidTr="00582F03">
        <w:trPr>
          <w:trHeight w:val="397"/>
        </w:trPr>
        <w:tc>
          <w:tcPr>
            <w:tcW w:w="3381" w:type="dxa"/>
            <w:shd w:val="clear" w:color="auto" w:fill="auto"/>
            <w:noWrap/>
            <w:vAlign w:val="center"/>
            <w:hideMark/>
          </w:tcPr>
          <w:p w14:paraId="13702127" w14:textId="77777777" w:rsidR="004C3CE1" w:rsidRPr="00571449" w:rsidRDefault="004C3CE1" w:rsidP="004C3CE1">
            <w:pPr>
              <w:spacing w:line="240" w:lineRule="auto"/>
              <w:jc w:val="left"/>
              <w:rPr>
                <w:rFonts w:cs="Arial"/>
                <w:szCs w:val="22"/>
              </w:rPr>
            </w:pPr>
            <w:r w:rsidRPr="00571449">
              <w:rPr>
                <w:rFonts w:cs="Arial"/>
                <w:szCs w:val="22"/>
              </w:rPr>
              <w:t>Borough Council Elections</w:t>
            </w:r>
          </w:p>
        </w:tc>
        <w:tc>
          <w:tcPr>
            <w:tcW w:w="1223" w:type="dxa"/>
            <w:shd w:val="clear" w:color="auto" w:fill="auto"/>
            <w:noWrap/>
            <w:tcMar>
              <w:right w:w="170" w:type="dxa"/>
            </w:tcMar>
            <w:vAlign w:val="center"/>
            <w:hideMark/>
          </w:tcPr>
          <w:p w14:paraId="13702128" w14:textId="77777777" w:rsidR="004C3CE1" w:rsidRPr="00571449" w:rsidRDefault="004C3CE1" w:rsidP="004C3CE1">
            <w:pPr>
              <w:spacing w:line="240" w:lineRule="auto"/>
              <w:jc w:val="right"/>
              <w:rPr>
                <w:rFonts w:cs="Arial"/>
                <w:szCs w:val="22"/>
              </w:rPr>
            </w:pPr>
            <w:r w:rsidRPr="00571449">
              <w:rPr>
                <w:rFonts w:cs="Arial"/>
                <w:szCs w:val="22"/>
              </w:rPr>
              <w:t>(114)</w:t>
            </w:r>
          </w:p>
        </w:tc>
        <w:tc>
          <w:tcPr>
            <w:tcW w:w="1223" w:type="dxa"/>
            <w:shd w:val="clear" w:color="auto" w:fill="auto"/>
            <w:noWrap/>
            <w:tcMar>
              <w:right w:w="170" w:type="dxa"/>
            </w:tcMar>
            <w:vAlign w:val="center"/>
            <w:hideMark/>
          </w:tcPr>
          <w:p w14:paraId="13702129" w14:textId="77777777" w:rsidR="004C3CE1" w:rsidRPr="00571449" w:rsidRDefault="004C3CE1" w:rsidP="004C3CE1">
            <w:pPr>
              <w:spacing w:line="240" w:lineRule="auto"/>
              <w:jc w:val="right"/>
              <w:rPr>
                <w:rFonts w:cs="Arial"/>
                <w:szCs w:val="22"/>
              </w:rPr>
            </w:pPr>
            <w:r>
              <w:rPr>
                <w:rFonts w:cs="Arial"/>
                <w:szCs w:val="22"/>
              </w:rPr>
              <w:t>(40)</w:t>
            </w:r>
          </w:p>
        </w:tc>
        <w:tc>
          <w:tcPr>
            <w:tcW w:w="1223" w:type="dxa"/>
            <w:shd w:val="clear" w:color="auto" w:fill="auto"/>
            <w:noWrap/>
            <w:tcMar>
              <w:right w:w="170" w:type="dxa"/>
            </w:tcMar>
            <w:vAlign w:val="center"/>
            <w:hideMark/>
          </w:tcPr>
          <w:p w14:paraId="1370212A" w14:textId="77777777" w:rsidR="004C3CE1" w:rsidRPr="00571449" w:rsidRDefault="004C3CE1" w:rsidP="004C3CE1">
            <w:pPr>
              <w:spacing w:line="240" w:lineRule="auto"/>
              <w:jc w:val="right"/>
              <w:rPr>
                <w:rFonts w:cs="Arial"/>
                <w:szCs w:val="22"/>
              </w:rPr>
            </w:pPr>
            <w:r>
              <w:rPr>
                <w:rFonts w:cs="Arial"/>
                <w:szCs w:val="22"/>
              </w:rPr>
              <w:t>154</w:t>
            </w:r>
          </w:p>
        </w:tc>
        <w:tc>
          <w:tcPr>
            <w:tcW w:w="1223" w:type="dxa"/>
            <w:shd w:val="clear" w:color="auto" w:fill="auto"/>
            <w:noWrap/>
            <w:tcMar>
              <w:right w:w="170" w:type="dxa"/>
            </w:tcMar>
            <w:vAlign w:val="center"/>
            <w:hideMark/>
          </w:tcPr>
          <w:p w14:paraId="1370212B" w14:textId="77777777" w:rsidR="004C3CE1" w:rsidRPr="00571449" w:rsidRDefault="004C3CE1" w:rsidP="004C3CE1">
            <w:pPr>
              <w:spacing w:line="240" w:lineRule="auto"/>
              <w:jc w:val="right"/>
              <w:rPr>
                <w:rFonts w:cs="Arial"/>
                <w:szCs w:val="22"/>
              </w:rPr>
            </w:pPr>
            <w:r>
              <w:rPr>
                <w:rFonts w:cs="Arial"/>
                <w:szCs w:val="22"/>
              </w:rPr>
              <w:t>-</w:t>
            </w:r>
          </w:p>
        </w:tc>
        <w:tc>
          <w:tcPr>
            <w:tcW w:w="1224" w:type="dxa"/>
            <w:shd w:val="clear" w:color="auto" w:fill="auto"/>
            <w:noWrap/>
            <w:tcMar>
              <w:right w:w="170" w:type="dxa"/>
            </w:tcMar>
            <w:vAlign w:val="center"/>
            <w:hideMark/>
          </w:tcPr>
          <w:p w14:paraId="1370212C" w14:textId="77777777" w:rsidR="004C3CE1" w:rsidRPr="00571449" w:rsidRDefault="00EF486C" w:rsidP="004C3CE1">
            <w:pPr>
              <w:spacing w:line="240" w:lineRule="auto"/>
              <w:jc w:val="right"/>
              <w:rPr>
                <w:rFonts w:cs="Arial"/>
                <w:szCs w:val="22"/>
              </w:rPr>
            </w:pPr>
            <w:r>
              <w:rPr>
                <w:rFonts w:cs="Arial"/>
                <w:szCs w:val="22"/>
              </w:rPr>
              <w:t>-</w:t>
            </w:r>
          </w:p>
        </w:tc>
      </w:tr>
      <w:tr w:rsidR="004C3CE1" w:rsidRPr="00571449" w14:paraId="13702134" w14:textId="77777777" w:rsidTr="00582F03">
        <w:trPr>
          <w:trHeight w:val="397"/>
        </w:trPr>
        <w:tc>
          <w:tcPr>
            <w:tcW w:w="3381" w:type="dxa"/>
            <w:shd w:val="clear" w:color="auto" w:fill="auto"/>
            <w:noWrap/>
            <w:vAlign w:val="center"/>
            <w:hideMark/>
          </w:tcPr>
          <w:p w14:paraId="1370212E" w14:textId="77777777" w:rsidR="004C3CE1" w:rsidRPr="00571449" w:rsidRDefault="004C3CE1" w:rsidP="004C3CE1">
            <w:pPr>
              <w:spacing w:line="240" w:lineRule="auto"/>
              <w:jc w:val="left"/>
              <w:rPr>
                <w:rFonts w:cs="Arial"/>
                <w:szCs w:val="22"/>
              </w:rPr>
            </w:pPr>
            <w:r w:rsidRPr="00571449">
              <w:rPr>
                <w:rFonts w:cs="Arial"/>
                <w:szCs w:val="22"/>
              </w:rPr>
              <w:t>Housing Needs Survey</w:t>
            </w:r>
          </w:p>
        </w:tc>
        <w:tc>
          <w:tcPr>
            <w:tcW w:w="1223" w:type="dxa"/>
            <w:shd w:val="clear" w:color="auto" w:fill="auto"/>
            <w:noWrap/>
            <w:tcMar>
              <w:right w:w="170" w:type="dxa"/>
            </w:tcMar>
            <w:vAlign w:val="center"/>
            <w:hideMark/>
          </w:tcPr>
          <w:p w14:paraId="1370212F" w14:textId="77777777" w:rsidR="004C3CE1" w:rsidRPr="00571449" w:rsidRDefault="004C3CE1" w:rsidP="004C3CE1">
            <w:pPr>
              <w:spacing w:line="240" w:lineRule="auto"/>
              <w:jc w:val="right"/>
              <w:rPr>
                <w:rFonts w:cs="Arial"/>
                <w:szCs w:val="22"/>
              </w:rPr>
            </w:pPr>
            <w:r w:rsidRPr="00571449">
              <w:rPr>
                <w:rFonts w:cs="Arial"/>
                <w:szCs w:val="22"/>
              </w:rPr>
              <w:t>(83)</w:t>
            </w:r>
          </w:p>
        </w:tc>
        <w:tc>
          <w:tcPr>
            <w:tcW w:w="1223" w:type="dxa"/>
            <w:shd w:val="clear" w:color="auto" w:fill="auto"/>
            <w:noWrap/>
            <w:tcMar>
              <w:right w:w="170" w:type="dxa"/>
            </w:tcMar>
            <w:vAlign w:val="center"/>
            <w:hideMark/>
          </w:tcPr>
          <w:p w14:paraId="13702130" w14:textId="77777777" w:rsidR="004C3CE1" w:rsidRPr="00571449" w:rsidRDefault="004C3CE1" w:rsidP="004C3CE1">
            <w:pPr>
              <w:spacing w:line="240" w:lineRule="auto"/>
              <w:jc w:val="right"/>
              <w:rPr>
                <w:rFonts w:cs="Arial"/>
                <w:szCs w:val="22"/>
              </w:rPr>
            </w:pPr>
            <w:r>
              <w:rPr>
                <w:rFonts w:cs="Arial"/>
                <w:szCs w:val="22"/>
              </w:rPr>
              <w:t>(20)</w:t>
            </w:r>
          </w:p>
        </w:tc>
        <w:tc>
          <w:tcPr>
            <w:tcW w:w="1223" w:type="dxa"/>
            <w:shd w:val="clear" w:color="auto" w:fill="auto"/>
            <w:noWrap/>
            <w:tcMar>
              <w:right w:w="170" w:type="dxa"/>
            </w:tcMar>
            <w:vAlign w:val="center"/>
            <w:hideMark/>
          </w:tcPr>
          <w:p w14:paraId="13702131" w14:textId="77777777" w:rsidR="004C3CE1" w:rsidRPr="00571449" w:rsidRDefault="004C3CE1" w:rsidP="004C3CE1">
            <w:pPr>
              <w:spacing w:line="240" w:lineRule="auto"/>
              <w:jc w:val="right"/>
              <w:rPr>
                <w:rFonts w:cs="Arial"/>
                <w:szCs w:val="22"/>
              </w:rPr>
            </w:pPr>
            <w:r>
              <w:rPr>
                <w:rFonts w:cs="Arial"/>
                <w:szCs w:val="22"/>
              </w:rPr>
              <w:t>-</w:t>
            </w:r>
          </w:p>
        </w:tc>
        <w:tc>
          <w:tcPr>
            <w:tcW w:w="1223" w:type="dxa"/>
            <w:shd w:val="clear" w:color="auto" w:fill="auto"/>
            <w:noWrap/>
            <w:tcMar>
              <w:right w:w="170" w:type="dxa"/>
            </w:tcMar>
            <w:vAlign w:val="center"/>
            <w:hideMark/>
          </w:tcPr>
          <w:p w14:paraId="13702132" w14:textId="77777777" w:rsidR="004C3CE1" w:rsidRPr="00571449" w:rsidRDefault="004C3CE1" w:rsidP="004C3CE1">
            <w:pPr>
              <w:spacing w:line="240" w:lineRule="auto"/>
              <w:jc w:val="right"/>
              <w:rPr>
                <w:rFonts w:cs="Arial"/>
                <w:szCs w:val="22"/>
              </w:rPr>
            </w:pPr>
            <w:r>
              <w:rPr>
                <w:rFonts w:cs="Arial"/>
                <w:szCs w:val="22"/>
              </w:rPr>
              <w:t>-</w:t>
            </w:r>
          </w:p>
        </w:tc>
        <w:tc>
          <w:tcPr>
            <w:tcW w:w="1224" w:type="dxa"/>
            <w:shd w:val="clear" w:color="auto" w:fill="auto"/>
            <w:noWrap/>
            <w:tcMar>
              <w:right w:w="170" w:type="dxa"/>
            </w:tcMar>
            <w:vAlign w:val="center"/>
            <w:hideMark/>
          </w:tcPr>
          <w:p w14:paraId="13702133" w14:textId="77777777" w:rsidR="004C3CE1" w:rsidRPr="00571449" w:rsidRDefault="00EF486C" w:rsidP="004C3CE1">
            <w:pPr>
              <w:spacing w:line="240" w:lineRule="auto"/>
              <w:jc w:val="right"/>
              <w:rPr>
                <w:rFonts w:cs="Arial"/>
                <w:szCs w:val="22"/>
              </w:rPr>
            </w:pPr>
            <w:r>
              <w:rPr>
                <w:rFonts w:cs="Arial"/>
                <w:szCs w:val="22"/>
              </w:rPr>
              <w:t>(103)</w:t>
            </w:r>
          </w:p>
        </w:tc>
      </w:tr>
      <w:tr w:rsidR="004C3CE1" w:rsidRPr="00571449" w14:paraId="1370213B" w14:textId="77777777" w:rsidTr="00582F03">
        <w:trPr>
          <w:trHeight w:val="397"/>
        </w:trPr>
        <w:tc>
          <w:tcPr>
            <w:tcW w:w="3381" w:type="dxa"/>
            <w:shd w:val="clear" w:color="auto" w:fill="auto"/>
            <w:noWrap/>
            <w:vAlign w:val="center"/>
            <w:hideMark/>
          </w:tcPr>
          <w:p w14:paraId="13702135" w14:textId="77777777" w:rsidR="004C3CE1" w:rsidRPr="00571449" w:rsidRDefault="004C3CE1" w:rsidP="004C3CE1">
            <w:pPr>
              <w:spacing w:line="240" w:lineRule="auto"/>
              <w:jc w:val="left"/>
              <w:rPr>
                <w:rFonts w:cs="Arial"/>
                <w:szCs w:val="22"/>
              </w:rPr>
            </w:pPr>
            <w:r w:rsidRPr="00571449">
              <w:rPr>
                <w:rFonts w:cs="Arial"/>
                <w:szCs w:val="22"/>
              </w:rPr>
              <w:t>Local Development Framework</w:t>
            </w:r>
          </w:p>
        </w:tc>
        <w:tc>
          <w:tcPr>
            <w:tcW w:w="1223" w:type="dxa"/>
            <w:shd w:val="clear" w:color="auto" w:fill="auto"/>
            <w:noWrap/>
            <w:tcMar>
              <w:right w:w="170" w:type="dxa"/>
            </w:tcMar>
            <w:vAlign w:val="center"/>
            <w:hideMark/>
          </w:tcPr>
          <w:p w14:paraId="13702136" w14:textId="77777777" w:rsidR="004C3CE1" w:rsidRPr="00571449" w:rsidRDefault="004C3CE1" w:rsidP="004C3CE1">
            <w:pPr>
              <w:spacing w:line="240" w:lineRule="auto"/>
              <w:jc w:val="right"/>
              <w:rPr>
                <w:rFonts w:cs="Arial"/>
                <w:szCs w:val="22"/>
              </w:rPr>
            </w:pPr>
            <w:r w:rsidRPr="00571449">
              <w:rPr>
                <w:rFonts w:cs="Arial"/>
                <w:szCs w:val="22"/>
              </w:rPr>
              <w:t>(255)</w:t>
            </w:r>
          </w:p>
        </w:tc>
        <w:tc>
          <w:tcPr>
            <w:tcW w:w="1223" w:type="dxa"/>
            <w:shd w:val="clear" w:color="auto" w:fill="auto"/>
            <w:noWrap/>
            <w:tcMar>
              <w:right w:w="170" w:type="dxa"/>
            </w:tcMar>
            <w:vAlign w:val="center"/>
          </w:tcPr>
          <w:p w14:paraId="13702137" w14:textId="77777777" w:rsidR="004C3CE1" w:rsidRPr="00571449" w:rsidRDefault="004C3CE1" w:rsidP="004C3CE1">
            <w:pPr>
              <w:spacing w:line="240" w:lineRule="auto"/>
              <w:jc w:val="right"/>
              <w:rPr>
                <w:rFonts w:cs="Arial"/>
                <w:szCs w:val="22"/>
              </w:rPr>
            </w:pPr>
            <w:r>
              <w:rPr>
                <w:rFonts w:cs="Arial"/>
                <w:szCs w:val="22"/>
              </w:rPr>
              <w:t>-</w:t>
            </w:r>
          </w:p>
        </w:tc>
        <w:tc>
          <w:tcPr>
            <w:tcW w:w="1223" w:type="dxa"/>
            <w:shd w:val="clear" w:color="auto" w:fill="auto"/>
            <w:noWrap/>
            <w:tcMar>
              <w:right w:w="170" w:type="dxa"/>
            </w:tcMar>
            <w:vAlign w:val="center"/>
            <w:hideMark/>
          </w:tcPr>
          <w:p w14:paraId="13702138" w14:textId="77777777" w:rsidR="004C3CE1" w:rsidRPr="00571449" w:rsidRDefault="004C3CE1" w:rsidP="004C3CE1">
            <w:pPr>
              <w:spacing w:line="240" w:lineRule="auto"/>
              <w:jc w:val="right"/>
              <w:rPr>
                <w:rFonts w:cs="Arial"/>
                <w:szCs w:val="22"/>
              </w:rPr>
            </w:pPr>
            <w:r>
              <w:rPr>
                <w:rFonts w:cs="Arial"/>
                <w:szCs w:val="22"/>
              </w:rPr>
              <w:t>153</w:t>
            </w:r>
          </w:p>
        </w:tc>
        <w:tc>
          <w:tcPr>
            <w:tcW w:w="1223" w:type="dxa"/>
            <w:shd w:val="clear" w:color="auto" w:fill="auto"/>
            <w:noWrap/>
            <w:tcMar>
              <w:right w:w="170" w:type="dxa"/>
            </w:tcMar>
            <w:vAlign w:val="center"/>
            <w:hideMark/>
          </w:tcPr>
          <w:p w14:paraId="13702139" w14:textId="77777777" w:rsidR="004C3CE1" w:rsidRPr="00571449" w:rsidRDefault="004C3CE1" w:rsidP="004C3CE1">
            <w:pPr>
              <w:spacing w:line="240" w:lineRule="auto"/>
              <w:jc w:val="right"/>
              <w:rPr>
                <w:rFonts w:cs="Arial"/>
                <w:szCs w:val="22"/>
              </w:rPr>
            </w:pPr>
            <w:r>
              <w:rPr>
                <w:rFonts w:cs="Arial"/>
                <w:szCs w:val="22"/>
              </w:rPr>
              <w:t>-</w:t>
            </w:r>
          </w:p>
        </w:tc>
        <w:tc>
          <w:tcPr>
            <w:tcW w:w="1224" w:type="dxa"/>
            <w:shd w:val="clear" w:color="auto" w:fill="auto"/>
            <w:noWrap/>
            <w:tcMar>
              <w:right w:w="170" w:type="dxa"/>
            </w:tcMar>
            <w:vAlign w:val="center"/>
            <w:hideMark/>
          </w:tcPr>
          <w:p w14:paraId="1370213A" w14:textId="77777777" w:rsidR="004C3CE1" w:rsidRPr="00571449" w:rsidRDefault="00EF486C" w:rsidP="004C3CE1">
            <w:pPr>
              <w:spacing w:line="240" w:lineRule="auto"/>
              <w:jc w:val="right"/>
              <w:rPr>
                <w:rFonts w:cs="Arial"/>
                <w:szCs w:val="22"/>
              </w:rPr>
            </w:pPr>
            <w:r>
              <w:rPr>
                <w:rFonts w:cs="Arial"/>
                <w:szCs w:val="22"/>
              </w:rPr>
              <w:t>(102)</w:t>
            </w:r>
          </w:p>
        </w:tc>
      </w:tr>
      <w:tr w:rsidR="004C3CE1" w:rsidRPr="00571449" w14:paraId="13702142" w14:textId="77777777" w:rsidTr="00582F03">
        <w:trPr>
          <w:trHeight w:val="397"/>
        </w:trPr>
        <w:tc>
          <w:tcPr>
            <w:tcW w:w="3381" w:type="dxa"/>
            <w:shd w:val="clear" w:color="auto" w:fill="auto"/>
            <w:noWrap/>
            <w:vAlign w:val="center"/>
            <w:hideMark/>
          </w:tcPr>
          <w:p w14:paraId="1370213C" w14:textId="77777777" w:rsidR="004C3CE1" w:rsidRPr="00571449" w:rsidRDefault="004C3CE1" w:rsidP="004C3CE1">
            <w:pPr>
              <w:spacing w:line="240" w:lineRule="auto"/>
              <w:jc w:val="left"/>
              <w:rPr>
                <w:rFonts w:cs="Arial"/>
                <w:szCs w:val="22"/>
              </w:rPr>
            </w:pPr>
            <w:r w:rsidRPr="00571449">
              <w:rPr>
                <w:rFonts w:cs="Arial"/>
                <w:szCs w:val="22"/>
              </w:rPr>
              <w:t>Performance Reward Grant</w:t>
            </w:r>
          </w:p>
        </w:tc>
        <w:tc>
          <w:tcPr>
            <w:tcW w:w="1223" w:type="dxa"/>
            <w:shd w:val="clear" w:color="auto" w:fill="auto"/>
            <w:noWrap/>
            <w:tcMar>
              <w:right w:w="170" w:type="dxa"/>
            </w:tcMar>
            <w:vAlign w:val="center"/>
            <w:hideMark/>
          </w:tcPr>
          <w:p w14:paraId="1370213D" w14:textId="77777777" w:rsidR="004C3CE1" w:rsidRPr="00571449" w:rsidRDefault="004C3CE1" w:rsidP="004C3CE1">
            <w:pPr>
              <w:spacing w:line="240" w:lineRule="auto"/>
              <w:jc w:val="right"/>
              <w:rPr>
                <w:rFonts w:cs="Arial"/>
                <w:szCs w:val="22"/>
              </w:rPr>
            </w:pPr>
            <w:r w:rsidRPr="00571449">
              <w:rPr>
                <w:rFonts w:cs="Arial"/>
                <w:szCs w:val="22"/>
              </w:rPr>
              <w:t>(46)</w:t>
            </w:r>
          </w:p>
        </w:tc>
        <w:tc>
          <w:tcPr>
            <w:tcW w:w="1223" w:type="dxa"/>
            <w:shd w:val="clear" w:color="auto" w:fill="auto"/>
            <w:noWrap/>
            <w:tcMar>
              <w:right w:w="170" w:type="dxa"/>
            </w:tcMar>
            <w:vAlign w:val="center"/>
            <w:hideMark/>
          </w:tcPr>
          <w:p w14:paraId="1370213E" w14:textId="77777777" w:rsidR="004C3CE1" w:rsidRPr="00571449" w:rsidRDefault="004C3CE1" w:rsidP="004C3CE1">
            <w:pPr>
              <w:spacing w:line="240" w:lineRule="auto"/>
              <w:jc w:val="right"/>
              <w:rPr>
                <w:rFonts w:cs="Arial"/>
                <w:szCs w:val="22"/>
              </w:rPr>
            </w:pPr>
            <w:r>
              <w:rPr>
                <w:rFonts w:cs="Arial"/>
                <w:szCs w:val="22"/>
              </w:rPr>
              <w:t>-</w:t>
            </w:r>
          </w:p>
        </w:tc>
        <w:tc>
          <w:tcPr>
            <w:tcW w:w="1223" w:type="dxa"/>
            <w:shd w:val="clear" w:color="auto" w:fill="auto"/>
            <w:noWrap/>
            <w:tcMar>
              <w:right w:w="170" w:type="dxa"/>
            </w:tcMar>
            <w:vAlign w:val="center"/>
            <w:hideMark/>
          </w:tcPr>
          <w:p w14:paraId="1370213F" w14:textId="77777777" w:rsidR="004C3CE1" w:rsidRPr="00571449" w:rsidRDefault="004C3CE1" w:rsidP="004C3CE1">
            <w:pPr>
              <w:spacing w:line="240" w:lineRule="auto"/>
              <w:jc w:val="right"/>
              <w:rPr>
                <w:rFonts w:cs="Arial"/>
                <w:szCs w:val="22"/>
              </w:rPr>
            </w:pPr>
            <w:r>
              <w:rPr>
                <w:rFonts w:cs="Arial"/>
                <w:szCs w:val="22"/>
              </w:rPr>
              <w:t>46</w:t>
            </w:r>
          </w:p>
        </w:tc>
        <w:tc>
          <w:tcPr>
            <w:tcW w:w="1223" w:type="dxa"/>
            <w:shd w:val="clear" w:color="auto" w:fill="auto"/>
            <w:noWrap/>
            <w:tcMar>
              <w:right w:w="170" w:type="dxa"/>
            </w:tcMar>
            <w:vAlign w:val="center"/>
            <w:hideMark/>
          </w:tcPr>
          <w:p w14:paraId="13702140" w14:textId="77777777" w:rsidR="004C3CE1" w:rsidRPr="00571449" w:rsidRDefault="004C3CE1" w:rsidP="004C3CE1">
            <w:pPr>
              <w:spacing w:line="240" w:lineRule="auto"/>
              <w:jc w:val="right"/>
              <w:rPr>
                <w:rFonts w:cs="Arial"/>
                <w:szCs w:val="22"/>
              </w:rPr>
            </w:pPr>
            <w:r>
              <w:rPr>
                <w:rFonts w:cs="Arial"/>
                <w:szCs w:val="22"/>
              </w:rPr>
              <w:t>-</w:t>
            </w:r>
          </w:p>
        </w:tc>
        <w:tc>
          <w:tcPr>
            <w:tcW w:w="1224" w:type="dxa"/>
            <w:shd w:val="clear" w:color="auto" w:fill="auto"/>
            <w:noWrap/>
            <w:tcMar>
              <w:right w:w="170" w:type="dxa"/>
            </w:tcMar>
            <w:vAlign w:val="center"/>
            <w:hideMark/>
          </w:tcPr>
          <w:p w14:paraId="13702141" w14:textId="77777777" w:rsidR="004C3CE1" w:rsidRPr="00571449" w:rsidRDefault="00EF486C" w:rsidP="004C3CE1">
            <w:pPr>
              <w:spacing w:line="240" w:lineRule="auto"/>
              <w:jc w:val="right"/>
              <w:rPr>
                <w:rFonts w:cs="Arial"/>
                <w:szCs w:val="22"/>
              </w:rPr>
            </w:pPr>
            <w:r>
              <w:rPr>
                <w:rFonts w:cs="Arial"/>
                <w:szCs w:val="22"/>
              </w:rPr>
              <w:t>-</w:t>
            </w:r>
          </w:p>
        </w:tc>
      </w:tr>
      <w:tr w:rsidR="004C3CE1" w:rsidRPr="00571449" w14:paraId="13702149" w14:textId="77777777" w:rsidTr="00582F03">
        <w:trPr>
          <w:trHeight w:val="397"/>
        </w:trPr>
        <w:tc>
          <w:tcPr>
            <w:tcW w:w="3381" w:type="dxa"/>
            <w:shd w:val="clear" w:color="auto" w:fill="auto"/>
            <w:noWrap/>
            <w:vAlign w:val="center"/>
            <w:hideMark/>
          </w:tcPr>
          <w:p w14:paraId="13702143" w14:textId="77777777" w:rsidR="004C3CE1" w:rsidRPr="00571449" w:rsidRDefault="004C3CE1" w:rsidP="004C3CE1">
            <w:pPr>
              <w:spacing w:line="240" w:lineRule="auto"/>
              <w:jc w:val="left"/>
              <w:rPr>
                <w:rFonts w:cs="Arial"/>
                <w:szCs w:val="22"/>
              </w:rPr>
            </w:pPr>
            <w:r w:rsidRPr="00571449">
              <w:rPr>
                <w:rFonts w:cs="Arial"/>
                <w:szCs w:val="22"/>
              </w:rPr>
              <w:t>Organisation Restructure Costs</w:t>
            </w:r>
          </w:p>
        </w:tc>
        <w:tc>
          <w:tcPr>
            <w:tcW w:w="1223" w:type="dxa"/>
            <w:shd w:val="clear" w:color="auto" w:fill="auto"/>
            <w:noWrap/>
            <w:tcMar>
              <w:right w:w="170" w:type="dxa"/>
            </w:tcMar>
            <w:vAlign w:val="center"/>
            <w:hideMark/>
          </w:tcPr>
          <w:p w14:paraId="13702144" w14:textId="77777777" w:rsidR="004C3CE1" w:rsidRPr="00571449" w:rsidRDefault="004C3CE1" w:rsidP="004C3CE1">
            <w:pPr>
              <w:spacing w:line="240" w:lineRule="auto"/>
              <w:jc w:val="right"/>
              <w:rPr>
                <w:rFonts w:cs="Arial"/>
                <w:szCs w:val="22"/>
              </w:rPr>
            </w:pPr>
            <w:r w:rsidRPr="00571449">
              <w:rPr>
                <w:rFonts w:cs="Arial"/>
                <w:szCs w:val="22"/>
              </w:rPr>
              <w:t>(27)</w:t>
            </w:r>
          </w:p>
        </w:tc>
        <w:tc>
          <w:tcPr>
            <w:tcW w:w="1223" w:type="dxa"/>
            <w:shd w:val="clear" w:color="auto" w:fill="auto"/>
            <w:noWrap/>
            <w:tcMar>
              <w:right w:w="170" w:type="dxa"/>
            </w:tcMar>
            <w:vAlign w:val="center"/>
            <w:hideMark/>
          </w:tcPr>
          <w:p w14:paraId="13702145" w14:textId="77777777" w:rsidR="004C3CE1" w:rsidRPr="00571449" w:rsidRDefault="004C3CE1" w:rsidP="004C3CE1">
            <w:pPr>
              <w:spacing w:line="240" w:lineRule="auto"/>
              <w:jc w:val="right"/>
              <w:rPr>
                <w:rFonts w:cs="Arial"/>
                <w:szCs w:val="22"/>
              </w:rPr>
            </w:pPr>
            <w:r>
              <w:rPr>
                <w:rFonts w:cs="Arial"/>
                <w:szCs w:val="22"/>
              </w:rPr>
              <w:t>-</w:t>
            </w:r>
          </w:p>
        </w:tc>
        <w:tc>
          <w:tcPr>
            <w:tcW w:w="1223" w:type="dxa"/>
            <w:shd w:val="clear" w:color="auto" w:fill="auto"/>
            <w:noWrap/>
            <w:tcMar>
              <w:right w:w="170" w:type="dxa"/>
            </w:tcMar>
            <w:vAlign w:val="center"/>
            <w:hideMark/>
          </w:tcPr>
          <w:p w14:paraId="13702146" w14:textId="77777777" w:rsidR="004C3CE1" w:rsidRPr="00571449" w:rsidRDefault="004C3CE1" w:rsidP="004C3CE1">
            <w:pPr>
              <w:spacing w:line="240" w:lineRule="auto"/>
              <w:jc w:val="right"/>
              <w:rPr>
                <w:rFonts w:cs="Arial"/>
                <w:szCs w:val="22"/>
              </w:rPr>
            </w:pPr>
            <w:r>
              <w:rPr>
                <w:rFonts w:cs="Arial"/>
                <w:szCs w:val="22"/>
              </w:rPr>
              <w:t>-</w:t>
            </w:r>
          </w:p>
        </w:tc>
        <w:tc>
          <w:tcPr>
            <w:tcW w:w="1223" w:type="dxa"/>
            <w:shd w:val="clear" w:color="auto" w:fill="auto"/>
            <w:noWrap/>
            <w:tcMar>
              <w:right w:w="170" w:type="dxa"/>
            </w:tcMar>
            <w:vAlign w:val="center"/>
            <w:hideMark/>
          </w:tcPr>
          <w:p w14:paraId="13702147" w14:textId="77777777" w:rsidR="004C3CE1" w:rsidRPr="00571449" w:rsidRDefault="004C3CE1" w:rsidP="004C3CE1">
            <w:pPr>
              <w:spacing w:line="240" w:lineRule="auto"/>
              <w:jc w:val="right"/>
              <w:rPr>
                <w:rFonts w:cs="Arial"/>
                <w:szCs w:val="22"/>
              </w:rPr>
            </w:pPr>
            <w:r>
              <w:rPr>
                <w:rFonts w:cs="Arial"/>
                <w:szCs w:val="22"/>
              </w:rPr>
              <w:t>-</w:t>
            </w:r>
          </w:p>
        </w:tc>
        <w:tc>
          <w:tcPr>
            <w:tcW w:w="1224" w:type="dxa"/>
            <w:shd w:val="clear" w:color="auto" w:fill="auto"/>
            <w:noWrap/>
            <w:tcMar>
              <w:right w:w="170" w:type="dxa"/>
            </w:tcMar>
            <w:vAlign w:val="center"/>
            <w:hideMark/>
          </w:tcPr>
          <w:p w14:paraId="13702148" w14:textId="77777777" w:rsidR="004C3CE1" w:rsidRPr="00571449" w:rsidRDefault="004C3CE1" w:rsidP="004C3CE1">
            <w:pPr>
              <w:spacing w:line="240" w:lineRule="auto"/>
              <w:jc w:val="right"/>
              <w:rPr>
                <w:rFonts w:cs="Arial"/>
                <w:szCs w:val="22"/>
              </w:rPr>
            </w:pPr>
            <w:r w:rsidRPr="00571449">
              <w:rPr>
                <w:rFonts w:cs="Arial"/>
                <w:szCs w:val="22"/>
              </w:rPr>
              <w:t>(27)</w:t>
            </w:r>
          </w:p>
        </w:tc>
      </w:tr>
      <w:tr w:rsidR="004C3CE1" w:rsidRPr="00571449" w14:paraId="13702150" w14:textId="77777777" w:rsidTr="00582F03">
        <w:trPr>
          <w:trHeight w:val="397"/>
        </w:trPr>
        <w:tc>
          <w:tcPr>
            <w:tcW w:w="3381" w:type="dxa"/>
            <w:shd w:val="clear" w:color="auto" w:fill="auto"/>
            <w:noWrap/>
            <w:vAlign w:val="center"/>
            <w:hideMark/>
          </w:tcPr>
          <w:p w14:paraId="1370214A" w14:textId="77777777" w:rsidR="004C3CE1" w:rsidRPr="00571449" w:rsidRDefault="004C3CE1" w:rsidP="004C3CE1">
            <w:pPr>
              <w:spacing w:line="240" w:lineRule="auto"/>
              <w:jc w:val="left"/>
              <w:rPr>
                <w:rFonts w:cs="Arial"/>
                <w:szCs w:val="22"/>
              </w:rPr>
            </w:pPr>
            <w:r w:rsidRPr="00571449">
              <w:rPr>
                <w:rFonts w:cs="Arial"/>
                <w:szCs w:val="22"/>
              </w:rPr>
              <w:t>Borough Investment Account</w:t>
            </w:r>
          </w:p>
        </w:tc>
        <w:tc>
          <w:tcPr>
            <w:tcW w:w="1223" w:type="dxa"/>
            <w:shd w:val="clear" w:color="auto" w:fill="auto"/>
            <w:noWrap/>
            <w:tcMar>
              <w:right w:w="170" w:type="dxa"/>
            </w:tcMar>
            <w:vAlign w:val="center"/>
            <w:hideMark/>
          </w:tcPr>
          <w:p w14:paraId="1370214B" w14:textId="77777777" w:rsidR="004C3CE1" w:rsidRPr="00571449" w:rsidRDefault="004C3CE1" w:rsidP="004C3CE1">
            <w:pPr>
              <w:spacing w:line="240" w:lineRule="auto"/>
              <w:jc w:val="right"/>
              <w:rPr>
                <w:rFonts w:cs="Arial"/>
                <w:szCs w:val="22"/>
              </w:rPr>
            </w:pPr>
            <w:r w:rsidRPr="00571449">
              <w:rPr>
                <w:rFonts w:cs="Arial"/>
                <w:szCs w:val="22"/>
              </w:rPr>
              <w:t>(4,594)</w:t>
            </w:r>
          </w:p>
        </w:tc>
        <w:tc>
          <w:tcPr>
            <w:tcW w:w="1223" w:type="dxa"/>
            <w:shd w:val="clear" w:color="auto" w:fill="auto"/>
            <w:noWrap/>
            <w:tcMar>
              <w:right w:w="170" w:type="dxa"/>
            </w:tcMar>
            <w:vAlign w:val="center"/>
            <w:hideMark/>
          </w:tcPr>
          <w:p w14:paraId="1370214C" w14:textId="77777777" w:rsidR="004C3CE1" w:rsidRPr="00571449" w:rsidRDefault="004C3CE1" w:rsidP="004C3CE1">
            <w:pPr>
              <w:spacing w:line="240" w:lineRule="auto"/>
              <w:jc w:val="right"/>
              <w:rPr>
                <w:rFonts w:cs="Arial"/>
                <w:szCs w:val="22"/>
              </w:rPr>
            </w:pPr>
            <w:r>
              <w:rPr>
                <w:rFonts w:cs="Arial"/>
                <w:szCs w:val="22"/>
              </w:rPr>
              <w:t>-</w:t>
            </w:r>
          </w:p>
        </w:tc>
        <w:tc>
          <w:tcPr>
            <w:tcW w:w="1223" w:type="dxa"/>
            <w:shd w:val="clear" w:color="auto" w:fill="auto"/>
            <w:noWrap/>
            <w:tcMar>
              <w:right w:w="170" w:type="dxa"/>
            </w:tcMar>
            <w:vAlign w:val="center"/>
            <w:hideMark/>
          </w:tcPr>
          <w:p w14:paraId="1370214D" w14:textId="77777777" w:rsidR="004C3CE1" w:rsidRPr="00571449" w:rsidRDefault="00F90148" w:rsidP="004C3CE1">
            <w:pPr>
              <w:spacing w:line="240" w:lineRule="auto"/>
              <w:jc w:val="right"/>
              <w:rPr>
                <w:rFonts w:cs="Arial"/>
                <w:szCs w:val="22"/>
              </w:rPr>
            </w:pPr>
            <w:r>
              <w:rPr>
                <w:rFonts w:cs="Arial"/>
                <w:szCs w:val="22"/>
              </w:rPr>
              <w:t>44</w:t>
            </w:r>
          </w:p>
        </w:tc>
        <w:tc>
          <w:tcPr>
            <w:tcW w:w="1223" w:type="dxa"/>
            <w:shd w:val="clear" w:color="auto" w:fill="auto"/>
            <w:noWrap/>
            <w:tcMar>
              <w:right w:w="170" w:type="dxa"/>
            </w:tcMar>
            <w:vAlign w:val="center"/>
            <w:hideMark/>
          </w:tcPr>
          <w:p w14:paraId="1370214E" w14:textId="77777777" w:rsidR="004C3CE1" w:rsidRPr="00571449" w:rsidRDefault="00F90148" w:rsidP="004C3CE1">
            <w:pPr>
              <w:spacing w:line="240" w:lineRule="auto"/>
              <w:jc w:val="right"/>
              <w:rPr>
                <w:rFonts w:cs="Arial"/>
                <w:szCs w:val="22"/>
              </w:rPr>
            </w:pPr>
            <w:r>
              <w:rPr>
                <w:rFonts w:cs="Arial"/>
                <w:szCs w:val="22"/>
              </w:rPr>
              <w:t>4,550</w:t>
            </w:r>
          </w:p>
        </w:tc>
        <w:tc>
          <w:tcPr>
            <w:tcW w:w="1224" w:type="dxa"/>
            <w:shd w:val="clear" w:color="auto" w:fill="auto"/>
            <w:noWrap/>
            <w:tcMar>
              <w:right w:w="170" w:type="dxa"/>
            </w:tcMar>
            <w:vAlign w:val="center"/>
            <w:hideMark/>
          </w:tcPr>
          <w:p w14:paraId="1370214F" w14:textId="77777777" w:rsidR="004C3CE1" w:rsidRPr="00571449" w:rsidRDefault="00F90148" w:rsidP="004C3CE1">
            <w:pPr>
              <w:spacing w:line="240" w:lineRule="auto"/>
              <w:jc w:val="right"/>
              <w:rPr>
                <w:rFonts w:cs="Arial"/>
                <w:szCs w:val="22"/>
              </w:rPr>
            </w:pPr>
            <w:r>
              <w:rPr>
                <w:rFonts w:cs="Arial"/>
                <w:szCs w:val="22"/>
              </w:rPr>
              <w:t>-</w:t>
            </w:r>
          </w:p>
        </w:tc>
      </w:tr>
      <w:tr w:rsidR="004C3CE1" w:rsidRPr="00571449" w14:paraId="13702157" w14:textId="77777777" w:rsidTr="00582F03">
        <w:trPr>
          <w:trHeight w:val="397"/>
        </w:trPr>
        <w:tc>
          <w:tcPr>
            <w:tcW w:w="3381" w:type="dxa"/>
            <w:shd w:val="clear" w:color="auto" w:fill="auto"/>
            <w:noWrap/>
            <w:vAlign w:val="center"/>
            <w:hideMark/>
          </w:tcPr>
          <w:p w14:paraId="13702151" w14:textId="77777777" w:rsidR="004C3CE1" w:rsidRPr="00571449" w:rsidRDefault="004C3CE1" w:rsidP="004C3CE1">
            <w:pPr>
              <w:spacing w:line="240" w:lineRule="auto"/>
              <w:jc w:val="left"/>
              <w:rPr>
                <w:rFonts w:cs="Arial"/>
                <w:szCs w:val="22"/>
              </w:rPr>
            </w:pPr>
            <w:r w:rsidRPr="00571449">
              <w:rPr>
                <w:rFonts w:cs="Arial"/>
                <w:szCs w:val="22"/>
              </w:rPr>
              <w:t>Business Rates Retention</w:t>
            </w:r>
          </w:p>
        </w:tc>
        <w:tc>
          <w:tcPr>
            <w:tcW w:w="1223" w:type="dxa"/>
            <w:shd w:val="clear" w:color="auto" w:fill="auto"/>
            <w:noWrap/>
            <w:tcMar>
              <w:right w:w="170" w:type="dxa"/>
            </w:tcMar>
            <w:vAlign w:val="center"/>
            <w:hideMark/>
          </w:tcPr>
          <w:p w14:paraId="13702152" w14:textId="77777777" w:rsidR="004C3CE1" w:rsidRPr="00571449" w:rsidRDefault="004C3CE1" w:rsidP="004C3CE1">
            <w:pPr>
              <w:spacing w:line="240" w:lineRule="auto"/>
              <w:jc w:val="right"/>
              <w:rPr>
                <w:rFonts w:cs="Arial"/>
                <w:szCs w:val="22"/>
              </w:rPr>
            </w:pPr>
            <w:r w:rsidRPr="00571449">
              <w:rPr>
                <w:rFonts w:cs="Arial"/>
                <w:szCs w:val="22"/>
              </w:rPr>
              <w:t>(2,751)</w:t>
            </w:r>
          </w:p>
        </w:tc>
        <w:tc>
          <w:tcPr>
            <w:tcW w:w="1223" w:type="dxa"/>
            <w:shd w:val="clear" w:color="auto" w:fill="auto"/>
            <w:noWrap/>
            <w:tcMar>
              <w:right w:w="170" w:type="dxa"/>
            </w:tcMar>
            <w:vAlign w:val="center"/>
            <w:hideMark/>
          </w:tcPr>
          <w:p w14:paraId="13702153" w14:textId="77777777" w:rsidR="004C3CE1" w:rsidRPr="00571449" w:rsidRDefault="004C3CE1" w:rsidP="004C3CE1">
            <w:pPr>
              <w:spacing w:line="240" w:lineRule="auto"/>
              <w:jc w:val="right"/>
              <w:rPr>
                <w:rFonts w:cs="Arial"/>
                <w:szCs w:val="22"/>
              </w:rPr>
            </w:pPr>
            <w:r>
              <w:rPr>
                <w:rFonts w:cs="Arial"/>
                <w:szCs w:val="22"/>
              </w:rPr>
              <w:t>-</w:t>
            </w:r>
          </w:p>
        </w:tc>
        <w:tc>
          <w:tcPr>
            <w:tcW w:w="1223" w:type="dxa"/>
            <w:shd w:val="clear" w:color="auto" w:fill="auto"/>
            <w:noWrap/>
            <w:tcMar>
              <w:right w:w="170" w:type="dxa"/>
            </w:tcMar>
            <w:vAlign w:val="center"/>
            <w:hideMark/>
          </w:tcPr>
          <w:p w14:paraId="13702154" w14:textId="77777777" w:rsidR="004C3CE1" w:rsidRPr="00571449" w:rsidRDefault="00EF486C" w:rsidP="004C3CE1">
            <w:pPr>
              <w:spacing w:line="240" w:lineRule="auto"/>
              <w:jc w:val="right"/>
              <w:rPr>
                <w:rFonts w:cs="Arial"/>
                <w:szCs w:val="22"/>
              </w:rPr>
            </w:pPr>
            <w:r>
              <w:rPr>
                <w:rFonts w:cs="Arial"/>
                <w:szCs w:val="22"/>
              </w:rPr>
              <w:t>65</w:t>
            </w:r>
          </w:p>
        </w:tc>
        <w:tc>
          <w:tcPr>
            <w:tcW w:w="1223" w:type="dxa"/>
            <w:shd w:val="clear" w:color="auto" w:fill="auto"/>
            <w:noWrap/>
            <w:tcMar>
              <w:right w:w="170" w:type="dxa"/>
            </w:tcMar>
            <w:vAlign w:val="center"/>
            <w:hideMark/>
          </w:tcPr>
          <w:p w14:paraId="13702155" w14:textId="77777777" w:rsidR="004C3CE1" w:rsidRPr="00571449" w:rsidRDefault="004C3CE1" w:rsidP="004C3CE1">
            <w:pPr>
              <w:spacing w:line="240" w:lineRule="auto"/>
              <w:jc w:val="right"/>
              <w:rPr>
                <w:rFonts w:cs="Arial"/>
                <w:szCs w:val="22"/>
              </w:rPr>
            </w:pPr>
            <w:r>
              <w:rPr>
                <w:rFonts w:cs="Arial"/>
                <w:szCs w:val="22"/>
              </w:rPr>
              <w:t>-</w:t>
            </w:r>
          </w:p>
        </w:tc>
        <w:tc>
          <w:tcPr>
            <w:tcW w:w="1224" w:type="dxa"/>
            <w:shd w:val="clear" w:color="auto" w:fill="auto"/>
            <w:noWrap/>
            <w:tcMar>
              <w:right w:w="170" w:type="dxa"/>
            </w:tcMar>
            <w:vAlign w:val="center"/>
            <w:hideMark/>
          </w:tcPr>
          <w:p w14:paraId="13702156" w14:textId="77777777" w:rsidR="004C3CE1" w:rsidRPr="00571449" w:rsidRDefault="00EF486C" w:rsidP="004C3CE1">
            <w:pPr>
              <w:spacing w:line="240" w:lineRule="auto"/>
              <w:jc w:val="right"/>
              <w:rPr>
                <w:rFonts w:cs="Arial"/>
                <w:szCs w:val="22"/>
              </w:rPr>
            </w:pPr>
            <w:r>
              <w:rPr>
                <w:rFonts w:cs="Arial"/>
                <w:szCs w:val="22"/>
              </w:rPr>
              <w:t>(2,686</w:t>
            </w:r>
            <w:r w:rsidR="004C3CE1" w:rsidRPr="00571449">
              <w:rPr>
                <w:rFonts w:cs="Arial"/>
                <w:szCs w:val="22"/>
              </w:rPr>
              <w:t>)</w:t>
            </w:r>
          </w:p>
        </w:tc>
      </w:tr>
      <w:tr w:rsidR="004C3CE1" w:rsidRPr="00571449" w14:paraId="1370215E" w14:textId="77777777" w:rsidTr="00582F03">
        <w:trPr>
          <w:trHeight w:val="397"/>
        </w:trPr>
        <w:tc>
          <w:tcPr>
            <w:tcW w:w="3381" w:type="dxa"/>
            <w:shd w:val="clear" w:color="auto" w:fill="auto"/>
            <w:noWrap/>
            <w:vAlign w:val="center"/>
            <w:hideMark/>
          </w:tcPr>
          <w:p w14:paraId="13702158" w14:textId="77777777" w:rsidR="004C3CE1" w:rsidRPr="00571449" w:rsidRDefault="004C3CE1" w:rsidP="004C3CE1">
            <w:pPr>
              <w:spacing w:line="240" w:lineRule="auto"/>
              <w:jc w:val="left"/>
              <w:rPr>
                <w:rFonts w:cs="Arial"/>
                <w:szCs w:val="22"/>
              </w:rPr>
            </w:pPr>
            <w:r w:rsidRPr="00571449">
              <w:rPr>
                <w:rFonts w:cs="Arial"/>
                <w:szCs w:val="22"/>
              </w:rPr>
              <w:t>City Deal Reserve</w:t>
            </w:r>
          </w:p>
        </w:tc>
        <w:tc>
          <w:tcPr>
            <w:tcW w:w="1223" w:type="dxa"/>
            <w:shd w:val="clear" w:color="auto" w:fill="auto"/>
            <w:noWrap/>
            <w:tcMar>
              <w:right w:w="170" w:type="dxa"/>
            </w:tcMar>
            <w:vAlign w:val="center"/>
            <w:hideMark/>
          </w:tcPr>
          <w:p w14:paraId="13702159" w14:textId="77777777" w:rsidR="004C3CE1" w:rsidRPr="00571449" w:rsidRDefault="004C3CE1" w:rsidP="004C3CE1">
            <w:pPr>
              <w:spacing w:line="240" w:lineRule="auto"/>
              <w:jc w:val="right"/>
              <w:rPr>
                <w:rFonts w:cs="Arial"/>
                <w:szCs w:val="22"/>
              </w:rPr>
            </w:pPr>
            <w:r w:rsidRPr="00571449">
              <w:rPr>
                <w:rFonts w:cs="Arial"/>
                <w:szCs w:val="22"/>
              </w:rPr>
              <w:t>(1,711)</w:t>
            </w:r>
          </w:p>
        </w:tc>
        <w:tc>
          <w:tcPr>
            <w:tcW w:w="1223" w:type="dxa"/>
            <w:shd w:val="clear" w:color="auto" w:fill="auto"/>
            <w:noWrap/>
            <w:tcMar>
              <w:right w:w="170" w:type="dxa"/>
            </w:tcMar>
            <w:vAlign w:val="center"/>
            <w:hideMark/>
          </w:tcPr>
          <w:p w14:paraId="1370215A" w14:textId="77777777" w:rsidR="004C3CE1" w:rsidRPr="00571449" w:rsidRDefault="004C3CE1" w:rsidP="004C3CE1">
            <w:pPr>
              <w:spacing w:line="240" w:lineRule="auto"/>
              <w:jc w:val="right"/>
              <w:rPr>
                <w:rFonts w:cs="Arial"/>
                <w:szCs w:val="22"/>
              </w:rPr>
            </w:pPr>
            <w:r>
              <w:rPr>
                <w:rFonts w:cs="Arial"/>
                <w:szCs w:val="22"/>
              </w:rPr>
              <w:t>(340)</w:t>
            </w:r>
          </w:p>
        </w:tc>
        <w:tc>
          <w:tcPr>
            <w:tcW w:w="1223" w:type="dxa"/>
            <w:shd w:val="clear" w:color="auto" w:fill="auto"/>
            <w:noWrap/>
            <w:tcMar>
              <w:right w:w="170" w:type="dxa"/>
            </w:tcMar>
            <w:vAlign w:val="center"/>
            <w:hideMark/>
          </w:tcPr>
          <w:p w14:paraId="1370215B" w14:textId="77777777" w:rsidR="004C3CE1" w:rsidRPr="00571449" w:rsidRDefault="00EF486C" w:rsidP="004C3CE1">
            <w:pPr>
              <w:spacing w:line="240" w:lineRule="auto"/>
              <w:jc w:val="right"/>
              <w:rPr>
                <w:rFonts w:cs="Arial"/>
                <w:szCs w:val="22"/>
              </w:rPr>
            </w:pPr>
            <w:r>
              <w:rPr>
                <w:rFonts w:cs="Arial"/>
                <w:szCs w:val="22"/>
              </w:rPr>
              <w:t>208</w:t>
            </w:r>
          </w:p>
        </w:tc>
        <w:tc>
          <w:tcPr>
            <w:tcW w:w="1223" w:type="dxa"/>
            <w:shd w:val="clear" w:color="auto" w:fill="auto"/>
            <w:noWrap/>
            <w:tcMar>
              <w:right w:w="170" w:type="dxa"/>
            </w:tcMar>
            <w:vAlign w:val="center"/>
            <w:hideMark/>
          </w:tcPr>
          <w:p w14:paraId="1370215C" w14:textId="77777777" w:rsidR="004C3CE1" w:rsidRPr="00571449" w:rsidRDefault="004C3CE1" w:rsidP="004C3CE1">
            <w:pPr>
              <w:spacing w:line="240" w:lineRule="auto"/>
              <w:jc w:val="right"/>
              <w:rPr>
                <w:rFonts w:cs="Arial"/>
                <w:szCs w:val="22"/>
              </w:rPr>
            </w:pPr>
            <w:r>
              <w:rPr>
                <w:rFonts w:cs="Arial"/>
                <w:szCs w:val="22"/>
              </w:rPr>
              <w:t>-</w:t>
            </w:r>
          </w:p>
        </w:tc>
        <w:tc>
          <w:tcPr>
            <w:tcW w:w="1224" w:type="dxa"/>
            <w:shd w:val="clear" w:color="auto" w:fill="auto"/>
            <w:noWrap/>
            <w:tcMar>
              <w:right w:w="170" w:type="dxa"/>
            </w:tcMar>
            <w:vAlign w:val="center"/>
            <w:hideMark/>
          </w:tcPr>
          <w:p w14:paraId="1370215D" w14:textId="77777777" w:rsidR="004C3CE1" w:rsidRPr="00571449" w:rsidRDefault="00EF486C" w:rsidP="004C3CE1">
            <w:pPr>
              <w:spacing w:line="240" w:lineRule="auto"/>
              <w:jc w:val="right"/>
              <w:rPr>
                <w:rFonts w:cs="Arial"/>
                <w:szCs w:val="22"/>
              </w:rPr>
            </w:pPr>
            <w:r>
              <w:rPr>
                <w:rFonts w:cs="Arial"/>
                <w:szCs w:val="22"/>
              </w:rPr>
              <w:t>(1,843</w:t>
            </w:r>
            <w:r w:rsidR="004C3CE1" w:rsidRPr="00571449">
              <w:rPr>
                <w:rFonts w:cs="Arial"/>
                <w:szCs w:val="22"/>
              </w:rPr>
              <w:t>)</w:t>
            </w:r>
          </w:p>
        </w:tc>
      </w:tr>
      <w:tr w:rsidR="004C3CE1" w:rsidRPr="00571449" w14:paraId="13702165" w14:textId="77777777" w:rsidTr="00582F03">
        <w:trPr>
          <w:trHeight w:val="397"/>
        </w:trPr>
        <w:tc>
          <w:tcPr>
            <w:tcW w:w="3381" w:type="dxa"/>
            <w:shd w:val="clear" w:color="auto" w:fill="auto"/>
            <w:noWrap/>
            <w:vAlign w:val="center"/>
            <w:hideMark/>
          </w:tcPr>
          <w:p w14:paraId="1370215F" w14:textId="77777777" w:rsidR="004C3CE1" w:rsidRPr="00571449" w:rsidRDefault="004C3CE1" w:rsidP="004C3CE1">
            <w:pPr>
              <w:spacing w:line="240" w:lineRule="auto"/>
              <w:jc w:val="left"/>
              <w:rPr>
                <w:rFonts w:cs="Arial"/>
                <w:szCs w:val="22"/>
              </w:rPr>
            </w:pPr>
            <w:r w:rsidRPr="00571449">
              <w:rPr>
                <w:rFonts w:cs="Arial"/>
                <w:szCs w:val="22"/>
              </w:rPr>
              <w:t>Capital Funding Reserve</w:t>
            </w:r>
          </w:p>
        </w:tc>
        <w:tc>
          <w:tcPr>
            <w:tcW w:w="1223" w:type="dxa"/>
            <w:shd w:val="clear" w:color="auto" w:fill="auto"/>
            <w:noWrap/>
            <w:tcMar>
              <w:right w:w="170" w:type="dxa"/>
            </w:tcMar>
            <w:vAlign w:val="center"/>
            <w:hideMark/>
          </w:tcPr>
          <w:p w14:paraId="13702160" w14:textId="77777777" w:rsidR="004C3CE1" w:rsidRPr="00571449" w:rsidRDefault="004C3CE1" w:rsidP="004C3CE1">
            <w:pPr>
              <w:spacing w:line="240" w:lineRule="auto"/>
              <w:jc w:val="right"/>
              <w:rPr>
                <w:rFonts w:cs="Arial"/>
                <w:szCs w:val="22"/>
              </w:rPr>
            </w:pPr>
            <w:r w:rsidRPr="00571449">
              <w:rPr>
                <w:rFonts w:cs="Arial"/>
                <w:szCs w:val="22"/>
              </w:rPr>
              <w:t>(3,073)</w:t>
            </w:r>
          </w:p>
        </w:tc>
        <w:tc>
          <w:tcPr>
            <w:tcW w:w="1223" w:type="dxa"/>
            <w:shd w:val="clear" w:color="auto" w:fill="auto"/>
            <w:noWrap/>
            <w:tcMar>
              <w:right w:w="170" w:type="dxa"/>
            </w:tcMar>
            <w:vAlign w:val="center"/>
            <w:hideMark/>
          </w:tcPr>
          <w:p w14:paraId="13702161" w14:textId="77777777" w:rsidR="004C3CE1" w:rsidRPr="00571449" w:rsidRDefault="004C3CE1" w:rsidP="004C3CE1">
            <w:pPr>
              <w:spacing w:line="240" w:lineRule="auto"/>
              <w:jc w:val="right"/>
              <w:rPr>
                <w:rFonts w:cs="Arial"/>
                <w:szCs w:val="22"/>
              </w:rPr>
            </w:pPr>
            <w:r>
              <w:rPr>
                <w:rFonts w:cs="Arial"/>
                <w:szCs w:val="22"/>
              </w:rPr>
              <w:t>(716)</w:t>
            </w:r>
          </w:p>
        </w:tc>
        <w:tc>
          <w:tcPr>
            <w:tcW w:w="1223" w:type="dxa"/>
            <w:shd w:val="clear" w:color="auto" w:fill="auto"/>
            <w:noWrap/>
            <w:tcMar>
              <w:right w:w="170" w:type="dxa"/>
            </w:tcMar>
            <w:vAlign w:val="center"/>
            <w:hideMark/>
          </w:tcPr>
          <w:p w14:paraId="13702162" w14:textId="77777777" w:rsidR="004C3CE1" w:rsidRPr="00571449" w:rsidRDefault="004C3CE1" w:rsidP="004C3CE1">
            <w:pPr>
              <w:spacing w:line="240" w:lineRule="auto"/>
              <w:jc w:val="right"/>
              <w:rPr>
                <w:rFonts w:cs="Arial"/>
                <w:szCs w:val="22"/>
              </w:rPr>
            </w:pPr>
            <w:r>
              <w:rPr>
                <w:rFonts w:cs="Arial"/>
                <w:szCs w:val="22"/>
              </w:rPr>
              <w:t>-</w:t>
            </w:r>
          </w:p>
        </w:tc>
        <w:tc>
          <w:tcPr>
            <w:tcW w:w="1223" w:type="dxa"/>
            <w:shd w:val="clear" w:color="auto" w:fill="auto"/>
            <w:noWrap/>
            <w:tcMar>
              <w:right w:w="170" w:type="dxa"/>
            </w:tcMar>
            <w:vAlign w:val="center"/>
            <w:hideMark/>
          </w:tcPr>
          <w:p w14:paraId="13702163" w14:textId="77777777" w:rsidR="004C3CE1" w:rsidRPr="00571449" w:rsidRDefault="00EF486C" w:rsidP="004C3CE1">
            <w:pPr>
              <w:spacing w:line="240" w:lineRule="auto"/>
              <w:jc w:val="right"/>
              <w:rPr>
                <w:rFonts w:cs="Arial"/>
                <w:szCs w:val="22"/>
              </w:rPr>
            </w:pPr>
            <w:r>
              <w:rPr>
                <w:rFonts w:cs="Arial"/>
                <w:szCs w:val="22"/>
              </w:rPr>
              <w:t>3,789</w:t>
            </w:r>
          </w:p>
        </w:tc>
        <w:tc>
          <w:tcPr>
            <w:tcW w:w="1224" w:type="dxa"/>
            <w:shd w:val="clear" w:color="auto" w:fill="auto"/>
            <w:noWrap/>
            <w:tcMar>
              <w:right w:w="170" w:type="dxa"/>
            </w:tcMar>
            <w:vAlign w:val="center"/>
            <w:hideMark/>
          </w:tcPr>
          <w:p w14:paraId="13702164" w14:textId="77777777" w:rsidR="004C3CE1" w:rsidRPr="00571449" w:rsidRDefault="00EF486C" w:rsidP="004C3CE1">
            <w:pPr>
              <w:spacing w:line="240" w:lineRule="auto"/>
              <w:jc w:val="right"/>
              <w:rPr>
                <w:rFonts w:cs="Arial"/>
                <w:szCs w:val="22"/>
              </w:rPr>
            </w:pPr>
            <w:r>
              <w:rPr>
                <w:rFonts w:cs="Arial"/>
                <w:szCs w:val="22"/>
              </w:rPr>
              <w:t>-</w:t>
            </w:r>
          </w:p>
        </w:tc>
      </w:tr>
      <w:tr w:rsidR="004C3CE1" w:rsidRPr="00571449" w14:paraId="1370216C" w14:textId="77777777" w:rsidTr="00582F03">
        <w:trPr>
          <w:trHeight w:val="397"/>
        </w:trPr>
        <w:tc>
          <w:tcPr>
            <w:tcW w:w="3381" w:type="dxa"/>
            <w:shd w:val="clear" w:color="auto" w:fill="auto"/>
            <w:noWrap/>
            <w:vAlign w:val="center"/>
            <w:hideMark/>
          </w:tcPr>
          <w:p w14:paraId="13702166" w14:textId="77777777" w:rsidR="004C3CE1" w:rsidRPr="00571449" w:rsidRDefault="004C3CE1" w:rsidP="004C3CE1">
            <w:pPr>
              <w:spacing w:line="240" w:lineRule="auto"/>
              <w:jc w:val="left"/>
              <w:rPr>
                <w:rFonts w:cs="Arial"/>
                <w:szCs w:val="22"/>
              </w:rPr>
            </w:pPr>
            <w:r w:rsidRPr="00571449">
              <w:rPr>
                <w:rFonts w:cs="Arial"/>
                <w:szCs w:val="22"/>
              </w:rPr>
              <w:t>Repairs and Maintenance Fund</w:t>
            </w:r>
          </w:p>
        </w:tc>
        <w:tc>
          <w:tcPr>
            <w:tcW w:w="1223" w:type="dxa"/>
            <w:shd w:val="clear" w:color="auto" w:fill="auto"/>
            <w:noWrap/>
            <w:tcMar>
              <w:right w:w="170" w:type="dxa"/>
            </w:tcMar>
            <w:vAlign w:val="center"/>
            <w:hideMark/>
          </w:tcPr>
          <w:p w14:paraId="13702167" w14:textId="77777777" w:rsidR="004C3CE1" w:rsidRPr="00571449" w:rsidRDefault="004C3CE1" w:rsidP="004C3CE1">
            <w:pPr>
              <w:spacing w:line="240" w:lineRule="auto"/>
              <w:jc w:val="right"/>
              <w:rPr>
                <w:rFonts w:cs="Arial"/>
                <w:szCs w:val="22"/>
              </w:rPr>
            </w:pPr>
            <w:r w:rsidRPr="00571449">
              <w:rPr>
                <w:rFonts w:cs="Arial"/>
                <w:szCs w:val="22"/>
              </w:rPr>
              <w:t>(500)</w:t>
            </w:r>
          </w:p>
        </w:tc>
        <w:tc>
          <w:tcPr>
            <w:tcW w:w="1223" w:type="dxa"/>
            <w:shd w:val="clear" w:color="auto" w:fill="auto"/>
            <w:noWrap/>
            <w:tcMar>
              <w:right w:w="170" w:type="dxa"/>
            </w:tcMar>
            <w:vAlign w:val="center"/>
            <w:hideMark/>
          </w:tcPr>
          <w:p w14:paraId="13702168" w14:textId="77777777" w:rsidR="004C3CE1" w:rsidRPr="00571449" w:rsidRDefault="004C3CE1" w:rsidP="004C3CE1">
            <w:pPr>
              <w:spacing w:line="240" w:lineRule="auto"/>
              <w:jc w:val="right"/>
              <w:rPr>
                <w:rFonts w:cs="Arial"/>
                <w:szCs w:val="22"/>
              </w:rPr>
            </w:pPr>
            <w:r>
              <w:rPr>
                <w:rFonts w:cs="Arial"/>
                <w:szCs w:val="22"/>
              </w:rPr>
              <w:t>-</w:t>
            </w:r>
          </w:p>
        </w:tc>
        <w:tc>
          <w:tcPr>
            <w:tcW w:w="1223" w:type="dxa"/>
            <w:shd w:val="clear" w:color="auto" w:fill="auto"/>
            <w:noWrap/>
            <w:tcMar>
              <w:right w:w="170" w:type="dxa"/>
            </w:tcMar>
            <w:vAlign w:val="center"/>
            <w:hideMark/>
          </w:tcPr>
          <w:p w14:paraId="13702169" w14:textId="77777777" w:rsidR="004C3CE1" w:rsidRPr="00571449" w:rsidRDefault="004C3CE1" w:rsidP="004C3CE1">
            <w:pPr>
              <w:spacing w:line="240" w:lineRule="auto"/>
              <w:jc w:val="right"/>
              <w:rPr>
                <w:rFonts w:cs="Arial"/>
                <w:szCs w:val="22"/>
              </w:rPr>
            </w:pPr>
            <w:r>
              <w:rPr>
                <w:rFonts w:cs="Arial"/>
                <w:szCs w:val="22"/>
              </w:rPr>
              <w:t>-</w:t>
            </w:r>
          </w:p>
        </w:tc>
        <w:tc>
          <w:tcPr>
            <w:tcW w:w="1223" w:type="dxa"/>
            <w:shd w:val="clear" w:color="auto" w:fill="auto"/>
            <w:noWrap/>
            <w:tcMar>
              <w:right w:w="170" w:type="dxa"/>
            </w:tcMar>
            <w:vAlign w:val="center"/>
            <w:hideMark/>
          </w:tcPr>
          <w:p w14:paraId="1370216A" w14:textId="77777777" w:rsidR="004C3CE1" w:rsidRPr="00571449" w:rsidRDefault="004C3CE1" w:rsidP="004C3CE1">
            <w:pPr>
              <w:spacing w:line="240" w:lineRule="auto"/>
              <w:jc w:val="right"/>
              <w:rPr>
                <w:rFonts w:cs="Arial"/>
                <w:szCs w:val="22"/>
              </w:rPr>
            </w:pPr>
            <w:r>
              <w:rPr>
                <w:rFonts w:cs="Arial"/>
                <w:szCs w:val="22"/>
              </w:rPr>
              <w:t>-</w:t>
            </w:r>
          </w:p>
        </w:tc>
        <w:tc>
          <w:tcPr>
            <w:tcW w:w="1224" w:type="dxa"/>
            <w:shd w:val="clear" w:color="auto" w:fill="auto"/>
            <w:noWrap/>
            <w:tcMar>
              <w:right w:w="170" w:type="dxa"/>
            </w:tcMar>
            <w:vAlign w:val="center"/>
            <w:hideMark/>
          </w:tcPr>
          <w:p w14:paraId="1370216B" w14:textId="77777777" w:rsidR="004C3CE1" w:rsidRPr="00571449" w:rsidRDefault="004C3CE1" w:rsidP="004C3CE1">
            <w:pPr>
              <w:spacing w:line="240" w:lineRule="auto"/>
              <w:jc w:val="right"/>
              <w:rPr>
                <w:rFonts w:cs="Arial"/>
                <w:szCs w:val="22"/>
              </w:rPr>
            </w:pPr>
            <w:r w:rsidRPr="00571449">
              <w:rPr>
                <w:rFonts w:cs="Arial"/>
                <w:szCs w:val="22"/>
              </w:rPr>
              <w:t>(500)</w:t>
            </w:r>
          </w:p>
        </w:tc>
      </w:tr>
      <w:tr w:rsidR="004C3CE1" w:rsidRPr="00571449" w14:paraId="13702173" w14:textId="77777777" w:rsidTr="00582F03">
        <w:trPr>
          <w:trHeight w:val="397"/>
        </w:trPr>
        <w:tc>
          <w:tcPr>
            <w:tcW w:w="3381" w:type="dxa"/>
            <w:shd w:val="clear" w:color="auto" w:fill="auto"/>
            <w:noWrap/>
            <w:vAlign w:val="center"/>
            <w:hideMark/>
          </w:tcPr>
          <w:p w14:paraId="1370216D" w14:textId="77777777" w:rsidR="004C3CE1" w:rsidRPr="00571449" w:rsidRDefault="004C3CE1" w:rsidP="004C3CE1">
            <w:pPr>
              <w:spacing w:line="240" w:lineRule="auto"/>
              <w:jc w:val="left"/>
              <w:rPr>
                <w:rFonts w:cs="Arial"/>
                <w:szCs w:val="22"/>
              </w:rPr>
            </w:pPr>
            <w:r w:rsidRPr="00571449">
              <w:rPr>
                <w:rFonts w:cs="Arial"/>
                <w:szCs w:val="22"/>
              </w:rPr>
              <w:t>Transformation Fund</w:t>
            </w:r>
          </w:p>
        </w:tc>
        <w:tc>
          <w:tcPr>
            <w:tcW w:w="1223" w:type="dxa"/>
            <w:shd w:val="clear" w:color="auto" w:fill="auto"/>
            <w:noWrap/>
            <w:tcMar>
              <w:right w:w="170" w:type="dxa"/>
            </w:tcMar>
            <w:vAlign w:val="center"/>
            <w:hideMark/>
          </w:tcPr>
          <w:p w14:paraId="1370216E" w14:textId="77777777" w:rsidR="004C3CE1" w:rsidRPr="00571449" w:rsidRDefault="004C3CE1" w:rsidP="004C3CE1">
            <w:pPr>
              <w:spacing w:line="240" w:lineRule="auto"/>
              <w:jc w:val="right"/>
              <w:rPr>
                <w:rFonts w:cs="Arial"/>
                <w:szCs w:val="22"/>
              </w:rPr>
            </w:pPr>
            <w:r w:rsidRPr="00571449">
              <w:rPr>
                <w:rFonts w:cs="Arial"/>
                <w:szCs w:val="22"/>
              </w:rPr>
              <w:t>(500)</w:t>
            </w:r>
          </w:p>
        </w:tc>
        <w:tc>
          <w:tcPr>
            <w:tcW w:w="1223" w:type="dxa"/>
            <w:shd w:val="clear" w:color="auto" w:fill="auto"/>
            <w:noWrap/>
            <w:tcMar>
              <w:right w:w="170" w:type="dxa"/>
            </w:tcMar>
            <w:vAlign w:val="center"/>
            <w:hideMark/>
          </w:tcPr>
          <w:p w14:paraId="1370216F" w14:textId="77777777" w:rsidR="004C3CE1" w:rsidRPr="00571449" w:rsidRDefault="004C3CE1" w:rsidP="004C3CE1">
            <w:pPr>
              <w:spacing w:line="240" w:lineRule="auto"/>
              <w:jc w:val="right"/>
              <w:rPr>
                <w:rFonts w:cs="Arial"/>
                <w:szCs w:val="22"/>
              </w:rPr>
            </w:pPr>
            <w:r>
              <w:rPr>
                <w:rFonts w:cs="Arial"/>
                <w:szCs w:val="22"/>
              </w:rPr>
              <w:t>-</w:t>
            </w:r>
          </w:p>
        </w:tc>
        <w:tc>
          <w:tcPr>
            <w:tcW w:w="1223" w:type="dxa"/>
            <w:shd w:val="clear" w:color="auto" w:fill="auto"/>
            <w:noWrap/>
            <w:tcMar>
              <w:right w:w="170" w:type="dxa"/>
            </w:tcMar>
            <w:vAlign w:val="center"/>
            <w:hideMark/>
          </w:tcPr>
          <w:p w14:paraId="13702170" w14:textId="77777777" w:rsidR="004C3CE1" w:rsidRPr="00571449" w:rsidRDefault="004C3CE1" w:rsidP="004C3CE1">
            <w:pPr>
              <w:spacing w:line="240" w:lineRule="auto"/>
              <w:jc w:val="right"/>
              <w:rPr>
                <w:rFonts w:cs="Arial"/>
                <w:szCs w:val="22"/>
              </w:rPr>
            </w:pPr>
            <w:r>
              <w:rPr>
                <w:rFonts w:cs="Arial"/>
                <w:szCs w:val="22"/>
              </w:rPr>
              <w:t>-</w:t>
            </w:r>
          </w:p>
        </w:tc>
        <w:tc>
          <w:tcPr>
            <w:tcW w:w="1223" w:type="dxa"/>
            <w:shd w:val="clear" w:color="auto" w:fill="auto"/>
            <w:noWrap/>
            <w:tcMar>
              <w:right w:w="170" w:type="dxa"/>
            </w:tcMar>
            <w:vAlign w:val="center"/>
            <w:hideMark/>
          </w:tcPr>
          <w:p w14:paraId="13702171" w14:textId="77777777" w:rsidR="004C3CE1" w:rsidRPr="00571449" w:rsidRDefault="00EF486C" w:rsidP="004C3CE1">
            <w:pPr>
              <w:spacing w:line="240" w:lineRule="auto"/>
              <w:jc w:val="right"/>
              <w:rPr>
                <w:rFonts w:cs="Arial"/>
                <w:szCs w:val="22"/>
              </w:rPr>
            </w:pPr>
            <w:r>
              <w:rPr>
                <w:rFonts w:cs="Arial"/>
                <w:szCs w:val="22"/>
              </w:rPr>
              <w:t>200</w:t>
            </w:r>
          </w:p>
        </w:tc>
        <w:tc>
          <w:tcPr>
            <w:tcW w:w="1224" w:type="dxa"/>
            <w:shd w:val="clear" w:color="auto" w:fill="auto"/>
            <w:noWrap/>
            <w:tcMar>
              <w:right w:w="170" w:type="dxa"/>
            </w:tcMar>
            <w:vAlign w:val="center"/>
            <w:hideMark/>
          </w:tcPr>
          <w:p w14:paraId="13702172" w14:textId="77777777" w:rsidR="004C3CE1" w:rsidRPr="00571449" w:rsidRDefault="00EF486C" w:rsidP="004C3CE1">
            <w:pPr>
              <w:spacing w:line="240" w:lineRule="auto"/>
              <w:jc w:val="right"/>
              <w:rPr>
                <w:rFonts w:cs="Arial"/>
                <w:szCs w:val="22"/>
              </w:rPr>
            </w:pPr>
            <w:r>
              <w:rPr>
                <w:rFonts w:cs="Arial"/>
                <w:szCs w:val="22"/>
              </w:rPr>
              <w:t>(3</w:t>
            </w:r>
            <w:r w:rsidR="004C3CE1" w:rsidRPr="00571449">
              <w:rPr>
                <w:rFonts w:cs="Arial"/>
                <w:szCs w:val="22"/>
              </w:rPr>
              <w:t>00)</w:t>
            </w:r>
          </w:p>
        </w:tc>
      </w:tr>
      <w:tr w:rsidR="004C3CE1" w:rsidRPr="00571449" w14:paraId="1370217A" w14:textId="77777777" w:rsidTr="00582F03">
        <w:trPr>
          <w:trHeight w:val="397"/>
        </w:trPr>
        <w:tc>
          <w:tcPr>
            <w:tcW w:w="3381" w:type="dxa"/>
            <w:shd w:val="clear" w:color="auto" w:fill="auto"/>
            <w:noWrap/>
            <w:vAlign w:val="center"/>
            <w:hideMark/>
          </w:tcPr>
          <w:p w14:paraId="13702174" w14:textId="77777777" w:rsidR="004C3CE1" w:rsidRPr="00571449" w:rsidRDefault="004C3CE1" w:rsidP="004C3CE1">
            <w:pPr>
              <w:spacing w:line="240" w:lineRule="auto"/>
              <w:jc w:val="left"/>
              <w:rPr>
                <w:rFonts w:cs="Arial"/>
                <w:szCs w:val="22"/>
              </w:rPr>
            </w:pPr>
            <w:r w:rsidRPr="00571449">
              <w:rPr>
                <w:rFonts w:cs="Arial"/>
                <w:szCs w:val="22"/>
              </w:rPr>
              <w:t>Apprenticeship Reserve</w:t>
            </w:r>
          </w:p>
        </w:tc>
        <w:tc>
          <w:tcPr>
            <w:tcW w:w="1223" w:type="dxa"/>
            <w:shd w:val="clear" w:color="auto" w:fill="auto"/>
            <w:noWrap/>
            <w:tcMar>
              <w:right w:w="170" w:type="dxa"/>
            </w:tcMar>
            <w:vAlign w:val="center"/>
            <w:hideMark/>
          </w:tcPr>
          <w:p w14:paraId="13702175" w14:textId="77777777" w:rsidR="004C3CE1" w:rsidRPr="00571449" w:rsidRDefault="004C3CE1" w:rsidP="004C3CE1">
            <w:pPr>
              <w:spacing w:line="240" w:lineRule="auto"/>
              <w:jc w:val="right"/>
              <w:rPr>
                <w:rFonts w:cs="Arial"/>
                <w:szCs w:val="22"/>
              </w:rPr>
            </w:pPr>
            <w:r w:rsidRPr="00571449">
              <w:rPr>
                <w:rFonts w:cs="Arial"/>
                <w:szCs w:val="22"/>
              </w:rPr>
              <w:t>(267)</w:t>
            </w:r>
          </w:p>
        </w:tc>
        <w:tc>
          <w:tcPr>
            <w:tcW w:w="1223" w:type="dxa"/>
            <w:shd w:val="clear" w:color="auto" w:fill="auto"/>
            <w:noWrap/>
            <w:tcMar>
              <w:right w:w="170" w:type="dxa"/>
            </w:tcMar>
            <w:vAlign w:val="center"/>
            <w:hideMark/>
          </w:tcPr>
          <w:p w14:paraId="13702176" w14:textId="77777777" w:rsidR="004C3CE1" w:rsidRPr="00571449" w:rsidRDefault="004C3CE1" w:rsidP="004C3CE1">
            <w:pPr>
              <w:spacing w:line="240" w:lineRule="auto"/>
              <w:jc w:val="right"/>
              <w:rPr>
                <w:rFonts w:cs="Arial"/>
                <w:szCs w:val="22"/>
              </w:rPr>
            </w:pPr>
            <w:r>
              <w:rPr>
                <w:rFonts w:cs="Arial"/>
                <w:szCs w:val="22"/>
              </w:rPr>
              <w:t>-</w:t>
            </w:r>
          </w:p>
        </w:tc>
        <w:tc>
          <w:tcPr>
            <w:tcW w:w="1223" w:type="dxa"/>
            <w:shd w:val="clear" w:color="auto" w:fill="auto"/>
            <w:noWrap/>
            <w:tcMar>
              <w:right w:w="170" w:type="dxa"/>
            </w:tcMar>
            <w:vAlign w:val="center"/>
            <w:hideMark/>
          </w:tcPr>
          <w:p w14:paraId="13702177" w14:textId="77777777" w:rsidR="004C3CE1" w:rsidRPr="00571449" w:rsidRDefault="00EF486C" w:rsidP="004C3CE1">
            <w:pPr>
              <w:spacing w:line="240" w:lineRule="auto"/>
              <w:jc w:val="right"/>
              <w:rPr>
                <w:rFonts w:cs="Arial"/>
                <w:szCs w:val="22"/>
              </w:rPr>
            </w:pPr>
            <w:r>
              <w:rPr>
                <w:rFonts w:cs="Arial"/>
                <w:szCs w:val="22"/>
              </w:rPr>
              <w:t>3</w:t>
            </w:r>
          </w:p>
        </w:tc>
        <w:tc>
          <w:tcPr>
            <w:tcW w:w="1223" w:type="dxa"/>
            <w:shd w:val="clear" w:color="auto" w:fill="auto"/>
            <w:noWrap/>
            <w:tcMar>
              <w:right w:w="170" w:type="dxa"/>
            </w:tcMar>
            <w:vAlign w:val="center"/>
            <w:hideMark/>
          </w:tcPr>
          <w:p w14:paraId="13702178" w14:textId="77777777" w:rsidR="004C3CE1" w:rsidRPr="00571449" w:rsidRDefault="004C3CE1" w:rsidP="004C3CE1">
            <w:pPr>
              <w:spacing w:line="240" w:lineRule="auto"/>
              <w:jc w:val="right"/>
              <w:rPr>
                <w:rFonts w:cs="Arial"/>
                <w:szCs w:val="22"/>
              </w:rPr>
            </w:pPr>
            <w:r>
              <w:rPr>
                <w:rFonts w:cs="Arial"/>
                <w:szCs w:val="22"/>
              </w:rPr>
              <w:t>-</w:t>
            </w:r>
          </w:p>
        </w:tc>
        <w:tc>
          <w:tcPr>
            <w:tcW w:w="1224" w:type="dxa"/>
            <w:shd w:val="clear" w:color="auto" w:fill="auto"/>
            <w:noWrap/>
            <w:tcMar>
              <w:right w:w="170" w:type="dxa"/>
            </w:tcMar>
            <w:vAlign w:val="center"/>
            <w:hideMark/>
          </w:tcPr>
          <w:p w14:paraId="13702179" w14:textId="77777777" w:rsidR="004C3CE1" w:rsidRPr="00571449" w:rsidRDefault="00EF486C" w:rsidP="004C3CE1">
            <w:pPr>
              <w:spacing w:line="240" w:lineRule="auto"/>
              <w:jc w:val="right"/>
              <w:rPr>
                <w:rFonts w:cs="Arial"/>
                <w:szCs w:val="22"/>
              </w:rPr>
            </w:pPr>
            <w:r>
              <w:rPr>
                <w:rFonts w:cs="Arial"/>
                <w:szCs w:val="22"/>
              </w:rPr>
              <w:t>(264</w:t>
            </w:r>
            <w:r w:rsidR="004C3CE1" w:rsidRPr="00571449">
              <w:rPr>
                <w:rFonts w:cs="Arial"/>
                <w:szCs w:val="22"/>
              </w:rPr>
              <w:t>)</w:t>
            </w:r>
          </w:p>
        </w:tc>
      </w:tr>
      <w:tr w:rsidR="004C3CE1" w:rsidRPr="00571449" w14:paraId="13702181" w14:textId="77777777" w:rsidTr="00582F03">
        <w:trPr>
          <w:trHeight w:val="397"/>
        </w:trPr>
        <w:tc>
          <w:tcPr>
            <w:tcW w:w="3381" w:type="dxa"/>
            <w:shd w:val="clear" w:color="auto" w:fill="auto"/>
            <w:noWrap/>
            <w:vAlign w:val="center"/>
            <w:hideMark/>
          </w:tcPr>
          <w:p w14:paraId="1370217B" w14:textId="77777777" w:rsidR="004C3CE1" w:rsidRPr="00571449" w:rsidRDefault="004C3CE1" w:rsidP="004C3CE1">
            <w:pPr>
              <w:spacing w:line="240" w:lineRule="auto"/>
              <w:jc w:val="left"/>
              <w:rPr>
                <w:rFonts w:cs="Arial"/>
                <w:szCs w:val="22"/>
              </w:rPr>
            </w:pPr>
            <w:r w:rsidRPr="00571449">
              <w:rPr>
                <w:rFonts w:cs="Arial"/>
                <w:szCs w:val="22"/>
              </w:rPr>
              <w:t>Other Earmarked Reserves</w:t>
            </w:r>
          </w:p>
        </w:tc>
        <w:tc>
          <w:tcPr>
            <w:tcW w:w="1223" w:type="dxa"/>
            <w:tcBorders>
              <w:bottom w:val="single" w:sz="4" w:space="0" w:color="auto"/>
            </w:tcBorders>
            <w:shd w:val="clear" w:color="auto" w:fill="auto"/>
            <w:noWrap/>
            <w:tcMar>
              <w:right w:w="170" w:type="dxa"/>
            </w:tcMar>
            <w:vAlign w:val="center"/>
            <w:hideMark/>
          </w:tcPr>
          <w:p w14:paraId="1370217C" w14:textId="77777777" w:rsidR="004C3CE1" w:rsidRPr="00571449" w:rsidRDefault="004C3CE1" w:rsidP="004C3CE1">
            <w:pPr>
              <w:spacing w:line="240" w:lineRule="auto"/>
              <w:jc w:val="right"/>
              <w:rPr>
                <w:rFonts w:cs="Arial"/>
                <w:szCs w:val="22"/>
              </w:rPr>
            </w:pPr>
            <w:r w:rsidRPr="00571449">
              <w:rPr>
                <w:rFonts w:cs="Arial"/>
                <w:szCs w:val="22"/>
              </w:rPr>
              <w:t>(864)</w:t>
            </w:r>
          </w:p>
        </w:tc>
        <w:tc>
          <w:tcPr>
            <w:tcW w:w="1223" w:type="dxa"/>
            <w:tcBorders>
              <w:bottom w:val="single" w:sz="4" w:space="0" w:color="auto"/>
            </w:tcBorders>
            <w:shd w:val="clear" w:color="auto" w:fill="auto"/>
            <w:noWrap/>
            <w:tcMar>
              <w:right w:w="170" w:type="dxa"/>
            </w:tcMar>
            <w:vAlign w:val="center"/>
            <w:hideMark/>
          </w:tcPr>
          <w:p w14:paraId="1370217D" w14:textId="77777777" w:rsidR="004C3CE1" w:rsidRPr="00571449" w:rsidRDefault="004C3CE1" w:rsidP="004C3CE1">
            <w:pPr>
              <w:spacing w:line="240" w:lineRule="auto"/>
              <w:jc w:val="right"/>
              <w:rPr>
                <w:rFonts w:cs="Arial"/>
                <w:szCs w:val="22"/>
              </w:rPr>
            </w:pPr>
            <w:r>
              <w:rPr>
                <w:rFonts w:cs="Arial"/>
                <w:szCs w:val="22"/>
              </w:rPr>
              <w:t>-</w:t>
            </w:r>
          </w:p>
        </w:tc>
        <w:tc>
          <w:tcPr>
            <w:tcW w:w="1223" w:type="dxa"/>
            <w:tcBorders>
              <w:bottom w:val="single" w:sz="4" w:space="0" w:color="auto"/>
            </w:tcBorders>
            <w:shd w:val="clear" w:color="auto" w:fill="auto"/>
            <w:noWrap/>
            <w:tcMar>
              <w:right w:w="170" w:type="dxa"/>
            </w:tcMar>
            <w:vAlign w:val="center"/>
            <w:hideMark/>
          </w:tcPr>
          <w:p w14:paraId="1370217E" w14:textId="77777777" w:rsidR="004C3CE1" w:rsidRPr="00571449" w:rsidRDefault="00EF486C" w:rsidP="004C3CE1">
            <w:pPr>
              <w:spacing w:line="240" w:lineRule="auto"/>
              <w:jc w:val="right"/>
              <w:rPr>
                <w:rFonts w:cs="Arial"/>
                <w:szCs w:val="22"/>
              </w:rPr>
            </w:pPr>
            <w:r>
              <w:rPr>
                <w:rFonts w:cs="Arial"/>
                <w:szCs w:val="22"/>
              </w:rPr>
              <w:t>196</w:t>
            </w:r>
          </w:p>
        </w:tc>
        <w:tc>
          <w:tcPr>
            <w:tcW w:w="1223" w:type="dxa"/>
            <w:tcBorders>
              <w:bottom w:val="single" w:sz="4" w:space="0" w:color="auto"/>
            </w:tcBorders>
            <w:shd w:val="clear" w:color="auto" w:fill="auto"/>
            <w:noWrap/>
            <w:tcMar>
              <w:right w:w="170" w:type="dxa"/>
            </w:tcMar>
            <w:vAlign w:val="center"/>
            <w:hideMark/>
          </w:tcPr>
          <w:p w14:paraId="1370217F" w14:textId="77777777" w:rsidR="004C3CE1" w:rsidRPr="00571449" w:rsidRDefault="00EF486C" w:rsidP="004C3CE1">
            <w:pPr>
              <w:spacing w:line="240" w:lineRule="auto"/>
              <w:jc w:val="right"/>
              <w:rPr>
                <w:rFonts w:cs="Arial"/>
                <w:szCs w:val="22"/>
              </w:rPr>
            </w:pPr>
            <w:r>
              <w:rPr>
                <w:rFonts w:cs="Arial"/>
                <w:szCs w:val="22"/>
              </w:rPr>
              <w:t>67</w:t>
            </w:r>
          </w:p>
        </w:tc>
        <w:tc>
          <w:tcPr>
            <w:tcW w:w="1224" w:type="dxa"/>
            <w:tcBorders>
              <w:bottom w:val="single" w:sz="4" w:space="0" w:color="auto"/>
            </w:tcBorders>
            <w:shd w:val="clear" w:color="auto" w:fill="auto"/>
            <w:noWrap/>
            <w:tcMar>
              <w:right w:w="170" w:type="dxa"/>
            </w:tcMar>
            <w:vAlign w:val="center"/>
            <w:hideMark/>
          </w:tcPr>
          <w:p w14:paraId="13702180" w14:textId="77777777" w:rsidR="004C3CE1" w:rsidRPr="00571449" w:rsidRDefault="00EF486C" w:rsidP="004C3CE1">
            <w:pPr>
              <w:spacing w:line="240" w:lineRule="auto"/>
              <w:jc w:val="right"/>
              <w:rPr>
                <w:rFonts w:cs="Arial"/>
                <w:szCs w:val="22"/>
              </w:rPr>
            </w:pPr>
            <w:r>
              <w:rPr>
                <w:rFonts w:cs="Arial"/>
                <w:szCs w:val="22"/>
              </w:rPr>
              <w:t>(601</w:t>
            </w:r>
            <w:r w:rsidR="004C3CE1" w:rsidRPr="00571449">
              <w:rPr>
                <w:rFonts w:cs="Arial"/>
                <w:szCs w:val="22"/>
              </w:rPr>
              <w:t>)</w:t>
            </w:r>
          </w:p>
        </w:tc>
      </w:tr>
      <w:tr w:rsidR="00571449" w:rsidRPr="00571449" w14:paraId="13702188" w14:textId="77777777" w:rsidTr="00582F03">
        <w:trPr>
          <w:trHeight w:val="397"/>
        </w:trPr>
        <w:tc>
          <w:tcPr>
            <w:tcW w:w="3381" w:type="dxa"/>
            <w:shd w:val="clear" w:color="auto" w:fill="auto"/>
            <w:noWrap/>
            <w:vAlign w:val="center"/>
            <w:hideMark/>
          </w:tcPr>
          <w:p w14:paraId="13702182" w14:textId="77777777" w:rsidR="00571449" w:rsidRPr="00571449" w:rsidRDefault="00571449" w:rsidP="00571449">
            <w:pPr>
              <w:spacing w:line="240" w:lineRule="auto"/>
              <w:jc w:val="left"/>
              <w:rPr>
                <w:rFonts w:cs="Arial"/>
                <w:b/>
                <w:bCs/>
                <w:color w:val="000000"/>
                <w:szCs w:val="22"/>
              </w:rPr>
            </w:pPr>
            <w:r w:rsidRPr="00571449">
              <w:rPr>
                <w:rFonts w:cs="Arial"/>
                <w:b/>
                <w:bCs/>
                <w:color w:val="000000"/>
                <w:szCs w:val="22"/>
              </w:rPr>
              <w:t xml:space="preserve">Total </w:t>
            </w:r>
          </w:p>
        </w:tc>
        <w:tc>
          <w:tcPr>
            <w:tcW w:w="1223" w:type="dxa"/>
            <w:tcBorders>
              <w:top w:val="single" w:sz="4" w:space="0" w:color="auto"/>
              <w:bottom w:val="single" w:sz="4" w:space="0" w:color="BFBFBF" w:themeColor="background1" w:themeShade="BF"/>
            </w:tcBorders>
            <w:shd w:val="clear" w:color="auto" w:fill="auto"/>
            <w:noWrap/>
            <w:tcMar>
              <w:right w:w="170" w:type="dxa"/>
            </w:tcMar>
            <w:vAlign w:val="center"/>
            <w:hideMark/>
          </w:tcPr>
          <w:p w14:paraId="13702183" w14:textId="77777777" w:rsidR="00571449" w:rsidRPr="00571449" w:rsidRDefault="00571449" w:rsidP="00571449">
            <w:pPr>
              <w:spacing w:line="240" w:lineRule="auto"/>
              <w:jc w:val="right"/>
              <w:rPr>
                <w:rFonts w:cs="Arial"/>
                <w:b/>
                <w:bCs/>
                <w:color w:val="000000"/>
                <w:szCs w:val="22"/>
              </w:rPr>
            </w:pPr>
            <w:r w:rsidRPr="00571449">
              <w:rPr>
                <w:rFonts w:cs="Arial"/>
                <w:b/>
                <w:bCs/>
                <w:color w:val="000000"/>
                <w:szCs w:val="22"/>
              </w:rPr>
              <w:t>(14,839)</w:t>
            </w:r>
          </w:p>
        </w:tc>
        <w:tc>
          <w:tcPr>
            <w:tcW w:w="1223" w:type="dxa"/>
            <w:tcBorders>
              <w:top w:val="single" w:sz="4" w:space="0" w:color="auto"/>
              <w:bottom w:val="single" w:sz="4" w:space="0" w:color="BFBFBF" w:themeColor="background1" w:themeShade="BF"/>
            </w:tcBorders>
            <w:shd w:val="clear" w:color="auto" w:fill="auto"/>
            <w:noWrap/>
            <w:tcMar>
              <w:right w:w="170" w:type="dxa"/>
            </w:tcMar>
            <w:vAlign w:val="center"/>
            <w:hideMark/>
          </w:tcPr>
          <w:p w14:paraId="13702184" w14:textId="77777777" w:rsidR="00571449" w:rsidRPr="00571449" w:rsidRDefault="00EF486C" w:rsidP="00571449">
            <w:pPr>
              <w:spacing w:line="240" w:lineRule="auto"/>
              <w:jc w:val="right"/>
              <w:rPr>
                <w:rFonts w:cs="Arial"/>
                <w:b/>
                <w:bCs/>
                <w:color w:val="000000"/>
                <w:szCs w:val="22"/>
              </w:rPr>
            </w:pPr>
            <w:r>
              <w:rPr>
                <w:rFonts w:cs="Arial"/>
                <w:b/>
                <w:bCs/>
                <w:color w:val="000000"/>
                <w:szCs w:val="22"/>
              </w:rPr>
              <w:t>(1,116)</w:t>
            </w:r>
          </w:p>
        </w:tc>
        <w:tc>
          <w:tcPr>
            <w:tcW w:w="1223" w:type="dxa"/>
            <w:tcBorders>
              <w:top w:val="single" w:sz="4" w:space="0" w:color="auto"/>
              <w:bottom w:val="single" w:sz="4" w:space="0" w:color="BFBFBF" w:themeColor="background1" w:themeShade="BF"/>
            </w:tcBorders>
            <w:shd w:val="clear" w:color="auto" w:fill="auto"/>
            <w:noWrap/>
            <w:tcMar>
              <w:right w:w="170" w:type="dxa"/>
            </w:tcMar>
            <w:vAlign w:val="center"/>
            <w:hideMark/>
          </w:tcPr>
          <w:p w14:paraId="13702185" w14:textId="77777777" w:rsidR="00571449" w:rsidRPr="00571449" w:rsidRDefault="00EF486C" w:rsidP="00F90148">
            <w:pPr>
              <w:spacing w:line="240" w:lineRule="auto"/>
              <w:jc w:val="right"/>
              <w:rPr>
                <w:rFonts w:cs="Arial"/>
                <w:b/>
                <w:bCs/>
                <w:color w:val="000000"/>
                <w:szCs w:val="22"/>
              </w:rPr>
            </w:pPr>
            <w:r>
              <w:rPr>
                <w:rFonts w:cs="Arial"/>
                <w:b/>
                <w:bCs/>
                <w:color w:val="000000"/>
                <w:szCs w:val="22"/>
              </w:rPr>
              <w:t>8</w:t>
            </w:r>
            <w:r w:rsidR="00F90148">
              <w:rPr>
                <w:rFonts w:cs="Arial"/>
                <w:b/>
                <w:bCs/>
                <w:color w:val="000000"/>
                <w:szCs w:val="22"/>
              </w:rPr>
              <w:t>69</w:t>
            </w:r>
          </w:p>
        </w:tc>
        <w:tc>
          <w:tcPr>
            <w:tcW w:w="1223" w:type="dxa"/>
            <w:tcBorders>
              <w:top w:val="single" w:sz="4" w:space="0" w:color="auto"/>
              <w:bottom w:val="single" w:sz="4" w:space="0" w:color="BFBFBF" w:themeColor="background1" w:themeShade="BF"/>
            </w:tcBorders>
            <w:shd w:val="clear" w:color="auto" w:fill="auto"/>
            <w:noWrap/>
            <w:tcMar>
              <w:right w:w="170" w:type="dxa"/>
            </w:tcMar>
            <w:vAlign w:val="center"/>
            <w:hideMark/>
          </w:tcPr>
          <w:p w14:paraId="13702186" w14:textId="77777777" w:rsidR="00571449" w:rsidRPr="00571449" w:rsidRDefault="00F90148" w:rsidP="00F90148">
            <w:pPr>
              <w:spacing w:line="240" w:lineRule="auto"/>
              <w:jc w:val="right"/>
              <w:rPr>
                <w:rFonts w:cs="Arial"/>
                <w:b/>
                <w:bCs/>
                <w:color w:val="000000"/>
                <w:szCs w:val="22"/>
              </w:rPr>
            </w:pPr>
            <w:r>
              <w:rPr>
                <w:rFonts w:cs="Arial"/>
                <w:b/>
                <w:bCs/>
                <w:color w:val="000000"/>
                <w:szCs w:val="22"/>
              </w:rPr>
              <w:t>8</w:t>
            </w:r>
            <w:r w:rsidR="00EF486C">
              <w:rPr>
                <w:rFonts w:cs="Arial"/>
                <w:b/>
                <w:bCs/>
                <w:color w:val="000000"/>
                <w:szCs w:val="22"/>
              </w:rPr>
              <w:t>,</w:t>
            </w:r>
            <w:r>
              <w:rPr>
                <w:rFonts w:cs="Arial"/>
                <w:b/>
                <w:bCs/>
                <w:color w:val="000000"/>
                <w:szCs w:val="22"/>
              </w:rPr>
              <w:t>606</w:t>
            </w:r>
          </w:p>
        </w:tc>
        <w:tc>
          <w:tcPr>
            <w:tcW w:w="1224" w:type="dxa"/>
            <w:tcBorders>
              <w:top w:val="single" w:sz="4" w:space="0" w:color="auto"/>
              <w:bottom w:val="single" w:sz="4" w:space="0" w:color="BFBFBF" w:themeColor="background1" w:themeShade="BF"/>
            </w:tcBorders>
            <w:shd w:val="clear" w:color="auto" w:fill="auto"/>
            <w:noWrap/>
            <w:tcMar>
              <w:right w:w="170" w:type="dxa"/>
            </w:tcMar>
            <w:vAlign w:val="center"/>
            <w:hideMark/>
          </w:tcPr>
          <w:p w14:paraId="13702187" w14:textId="77777777" w:rsidR="00571449" w:rsidRPr="00571449" w:rsidRDefault="00EF486C" w:rsidP="00F90148">
            <w:pPr>
              <w:spacing w:line="240" w:lineRule="auto"/>
              <w:jc w:val="right"/>
              <w:rPr>
                <w:rFonts w:cs="Arial"/>
                <w:b/>
                <w:bCs/>
                <w:color w:val="000000"/>
                <w:szCs w:val="22"/>
              </w:rPr>
            </w:pPr>
            <w:r>
              <w:rPr>
                <w:rFonts w:cs="Arial"/>
                <w:b/>
                <w:bCs/>
                <w:color w:val="000000"/>
                <w:szCs w:val="22"/>
              </w:rPr>
              <w:t>(</w:t>
            </w:r>
            <w:r w:rsidR="00F90148">
              <w:rPr>
                <w:rFonts w:cs="Arial"/>
                <w:b/>
                <w:bCs/>
                <w:color w:val="000000"/>
                <w:szCs w:val="22"/>
              </w:rPr>
              <w:t>6</w:t>
            </w:r>
            <w:r w:rsidR="00571449" w:rsidRPr="00571449">
              <w:rPr>
                <w:rFonts w:cs="Arial"/>
                <w:b/>
                <w:bCs/>
                <w:color w:val="000000"/>
                <w:szCs w:val="22"/>
              </w:rPr>
              <w:t>,</w:t>
            </w:r>
            <w:r w:rsidR="00F90148">
              <w:rPr>
                <w:rFonts w:cs="Arial"/>
                <w:b/>
                <w:bCs/>
                <w:color w:val="000000"/>
                <w:szCs w:val="22"/>
              </w:rPr>
              <w:t>480</w:t>
            </w:r>
            <w:r w:rsidR="00571449" w:rsidRPr="00571449">
              <w:rPr>
                <w:rFonts w:cs="Arial"/>
                <w:b/>
                <w:bCs/>
                <w:color w:val="000000"/>
                <w:szCs w:val="22"/>
              </w:rPr>
              <w:t>)</w:t>
            </w:r>
          </w:p>
        </w:tc>
      </w:tr>
      <w:tr w:rsidR="00571449" w:rsidRPr="00571449" w14:paraId="1370218F" w14:textId="77777777" w:rsidTr="00582F03">
        <w:trPr>
          <w:trHeight w:val="397"/>
        </w:trPr>
        <w:tc>
          <w:tcPr>
            <w:tcW w:w="3381" w:type="dxa"/>
            <w:shd w:val="clear" w:color="auto" w:fill="auto"/>
            <w:vAlign w:val="center"/>
            <w:hideMark/>
          </w:tcPr>
          <w:p w14:paraId="13702189" w14:textId="77777777" w:rsidR="00571449" w:rsidRPr="00571449" w:rsidRDefault="00571449" w:rsidP="00571449">
            <w:pPr>
              <w:spacing w:line="240" w:lineRule="auto"/>
              <w:jc w:val="left"/>
              <w:rPr>
                <w:rFonts w:cs="Arial"/>
                <w:color w:val="000000"/>
                <w:szCs w:val="22"/>
              </w:rPr>
            </w:pPr>
            <w:r w:rsidRPr="00571449">
              <w:rPr>
                <w:rFonts w:cs="Arial"/>
                <w:color w:val="000000"/>
                <w:szCs w:val="22"/>
              </w:rPr>
              <w:t>General Reserve</w:t>
            </w:r>
          </w:p>
        </w:tc>
        <w:tc>
          <w:tcPr>
            <w:tcW w:w="1223" w:type="dxa"/>
            <w:tcBorders>
              <w:top w:val="single" w:sz="4" w:space="0" w:color="BFBFBF" w:themeColor="background1" w:themeShade="BF"/>
              <w:bottom w:val="single" w:sz="4" w:space="0" w:color="auto"/>
            </w:tcBorders>
            <w:shd w:val="clear" w:color="auto" w:fill="auto"/>
            <w:tcMar>
              <w:right w:w="170" w:type="dxa"/>
            </w:tcMar>
            <w:vAlign w:val="center"/>
            <w:hideMark/>
          </w:tcPr>
          <w:p w14:paraId="1370218A" w14:textId="77777777" w:rsidR="00571449" w:rsidRPr="00571449" w:rsidRDefault="00571449" w:rsidP="00571449">
            <w:pPr>
              <w:spacing w:line="240" w:lineRule="auto"/>
              <w:jc w:val="right"/>
              <w:rPr>
                <w:rFonts w:cs="Arial"/>
                <w:color w:val="000000"/>
                <w:szCs w:val="22"/>
              </w:rPr>
            </w:pPr>
            <w:r w:rsidRPr="00571449">
              <w:rPr>
                <w:rFonts w:cs="Arial"/>
                <w:color w:val="000000"/>
                <w:szCs w:val="22"/>
              </w:rPr>
              <w:t>(4,680)</w:t>
            </w:r>
          </w:p>
        </w:tc>
        <w:tc>
          <w:tcPr>
            <w:tcW w:w="1223" w:type="dxa"/>
            <w:tcBorders>
              <w:top w:val="single" w:sz="4" w:space="0" w:color="BFBFBF" w:themeColor="background1" w:themeShade="BF"/>
              <w:bottom w:val="single" w:sz="4" w:space="0" w:color="auto"/>
            </w:tcBorders>
            <w:shd w:val="clear" w:color="auto" w:fill="auto"/>
            <w:tcMar>
              <w:right w:w="170" w:type="dxa"/>
            </w:tcMar>
            <w:vAlign w:val="center"/>
            <w:hideMark/>
          </w:tcPr>
          <w:p w14:paraId="1370218B" w14:textId="77777777" w:rsidR="00571449" w:rsidRPr="00571449" w:rsidRDefault="005653A6" w:rsidP="003431AD">
            <w:pPr>
              <w:spacing w:line="240" w:lineRule="auto"/>
              <w:jc w:val="right"/>
              <w:rPr>
                <w:rFonts w:cs="Arial"/>
                <w:color w:val="000000"/>
                <w:szCs w:val="22"/>
              </w:rPr>
            </w:pPr>
            <w:r>
              <w:rPr>
                <w:rFonts w:cs="Arial"/>
                <w:color w:val="000000"/>
                <w:szCs w:val="22"/>
              </w:rPr>
              <w:t>(6</w:t>
            </w:r>
            <w:r w:rsidR="003431AD">
              <w:rPr>
                <w:rFonts w:cs="Arial"/>
                <w:color w:val="000000"/>
                <w:szCs w:val="22"/>
              </w:rPr>
              <w:t>81</w:t>
            </w:r>
            <w:r>
              <w:rPr>
                <w:rFonts w:cs="Arial"/>
                <w:color w:val="000000"/>
                <w:szCs w:val="22"/>
              </w:rPr>
              <w:t>)</w:t>
            </w:r>
          </w:p>
        </w:tc>
        <w:tc>
          <w:tcPr>
            <w:tcW w:w="1223" w:type="dxa"/>
            <w:tcBorders>
              <w:top w:val="single" w:sz="4" w:space="0" w:color="BFBFBF" w:themeColor="background1" w:themeShade="BF"/>
              <w:bottom w:val="single" w:sz="4" w:space="0" w:color="auto"/>
            </w:tcBorders>
            <w:shd w:val="clear" w:color="auto" w:fill="auto"/>
            <w:tcMar>
              <w:right w:w="170" w:type="dxa"/>
            </w:tcMar>
            <w:vAlign w:val="center"/>
            <w:hideMark/>
          </w:tcPr>
          <w:p w14:paraId="1370218C" w14:textId="77777777" w:rsidR="00571449" w:rsidRPr="00571449" w:rsidRDefault="00EF486C" w:rsidP="00571449">
            <w:pPr>
              <w:spacing w:line="240" w:lineRule="auto"/>
              <w:jc w:val="right"/>
              <w:rPr>
                <w:rFonts w:ascii="Times New Roman" w:hAnsi="Times New Roman"/>
                <w:sz w:val="20"/>
              </w:rPr>
            </w:pPr>
            <w:r>
              <w:rPr>
                <w:rFonts w:ascii="Times New Roman" w:hAnsi="Times New Roman"/>
                <w:sz w:val="20"/>
              </w:rPr>
              <w:t>-</w:t>
            </w:r>
          </w:p>
        </w:tc>
        <w:tc>
          <w:tcPr>
            <w:tcW w:w="1223" w:type="dxa"/>
            <w:tcBorders>
              <w:top w:val="single" w:sz="4" w:space="0" w:color="BFBFBF" w:themeColor="background1" w:themeShade="BF"/>
              <w:bottom w:val="single" w:sz="4" w:space="0" w:color="auto"/>
            </w:tcBorders>
            <w:shd w:val="clear" w:color="auto" w:fill="auto"/>
            <w:tcMar>
              <w:right w:w="170" w:type="dxa"/>
            </w:tcMar>
            <w:vAlign w:val="center"/>
            <w:hideMark/>
          </w:tcPr>
          <w:p w14:paraId="1370218D" w14:textId="77777777" w:rsidR="00571449" w:rsidRPr="00571449" w:rsidRDefault="00EF486C" w:rsidP="00571449">
            <w:pPr>
              <w:spacing w:line="240" w:lineRule="auto"/>
              <w:jc w:val="right"/>
              <w:rPr>
                <w:rFonts w:ascii="Times New Roman" w:hAnsi="Times New Roman"/>
                <w:sz w:val="20"/>
              </w:rPr>
            </w:pPr>
            <w:r>
              <w:rPr>
                <w:rFonts w:ascii="Times New Roman" w:hAnsi="Times New Roman"/>
                <w:sz w:val="20"/>
              </w:rPr>
              <w:t>-</w:t>
            </w:r>
          </w:p>
        </w:tc>
        <w:tc>
          <w:tcPr>
            <w:tcW w:w="1224" w:type="dxa"/>
            <w:tcBorders>
              <w:top w:val="single" w:sz="4" w:space="0" w:color="BFBFBF" w:themeColor="background1" w:themeShade="BF"/>
              <w:bottom w:val="single" w:sz="4" w:space="0" w:color="auto"/>
            </w:tcBorders>
            <w:shd w:val="clear" w:color="auto" w:fill="auto"/>
            <w:noWrap/>
            <w:tcMar>
              <w:right w:w="170" w:type="dxa"/>
            </w:tcMar>
            <w:vAlign w:val="center"/>
            <w:hideMark/>
          </w:tcPr>
          <w:p w14:paraId="1370218E" w14:textId="77777777" w:rsidR="00571449" w:rsidRPr="00571449" w:rsidRDefault="005653A6" w:rsidP="003431AD">
            <w:pPr>
              <w:spacing w:line="240" w:lineRule="auto"/>
              <w:jc w:val="right"/>
              <w:rPr>
                <w:rFonts w:cs="Arial"/>
                <w:szCs w:val="22"/>
              </w:rPr>
            </w:pPr>
            <w:r>
              <w:rPr>
                <w:rFonts w:cs="Arial"/>
                <w:szCs w:val="22"/>
              </w:rPr>
              <w:t>(5</w:t>
            </w:r>
            <w:r w:rsidR="00571449" w:rsidRPr="00571449">
              <w:rPr>
                <w:rFonts w:cs="Arial"/>
                <w:szCs w:val="22"/>
              </w:rPr>
              <w:t>,</w:t>
            </w:r>
            <w:r w:rsidR="003431AD">
              <w:rPr>
                <w:rFonts w:cs="Arial"/>
                <w:szCs w:val="22"/>
              </w:rPr>
              <w:t>361</w:t>
            </w:r>
            <w:r w:rsidR="00571449" w:rsidRPr="00571449">
              <w:rPr>
                <w:rFonts w:cs="Arial"/>
                <w:szCs w:val="22"/>
              </w:rPr>
              <w:t>)</w:t>
            </w:r>
          </w:p>
        </w:tc>
      </w:tr>
      <w:tr w:rsidR="00571449" w:rsidRPr="00571449" w14:paraId="13702196" w14:textId="77777777" w:rsidTr="00582F03">
        <w:trPr>
          <w:trHeight w:val="397"/>
        </w:trPr>
        <w:tc>
          <w:tcPr>
            <w:tcW w:w="3381" w:type="dxa"/>
            <w:shd w:val="clear" w:color="auto" w:fill="auto"/>
            <w:vAlign w:val="center"/>
            <w:hideMark/>
          </w:tcPr>
          <w:p w14:paraId="13702190" w14:textId="77777777" w:rsidR="00571449" w:rsidRPr="00571449" w:rsidRDefault="00571449" w:rsidP="00571449">
            <w:pPr>
              <w:spacing w:line="240" w:lineRule="auto"/>
              <w:jc w:val="left"/>
              <w:rPr>
                <w:rFonts w:cs="Arial"/>
                <w:b/>
                <w:bCs/>
                <w:color w:val="000000"/>
                <w:szCs w:val="22"/>
              </w:rPr>
            </w:pPr>
            <w:r w:rsidRPr="00571449">
              <w:rPr>
                <w:rFonts w:cs="Arial"/>
                <w:b/>
                <w:bCs/>
                <w:color w:val="000000"/>
                <w:szCs w:val="22"/>
              </w:rPr>
              <w:t>Total General Fund Reserves</w:t>
            </w:r>
          </w:p>
        </w:tc>
        <w:tc>
          <w:tcPr>
            <w:tcW w:w="1223" w:type="dxa"/>
            <w:tcBorders>
              <w:top w:val="single" w:sz="4" w:space="0" w:color="auto"/>
              <w:bottom w:val="single" w:sz="4" w:space="0" w:color="auto"/>
            </w:tcBorders>
            <w:shd w:val="clear" w:color="auto" w:fill="auto"/>
            <w:tcMar>
              <w:right w:w="170" w:type="dxa"/>
            </w:tcMar>
            <w:vAlign w:val="center"/>
            <w:hideMark/>
          </w:tcPr>
          <w:p w14:paraId="13702191" w14:textId="77777777" w:rsidR="00571449" w:rsidRPr="00571449" w:rsidRDefault="00571449" w:rsidP="00571449">
            <w:pPr>
              <w:spacing w:line="240" w:lineRule="auto"/>
              <w:jc w:val="right"/>
              <w:rPr>
                <w:rFonts w:cs="Arial"/>
                <w:b/>
                <w:bCs/>
                <w:color w:val="000000"/>
                <w:szCs w:val="22"/>
              </w:rPr>
            </w:pPr>
            <w:r w:rsidRPr="00571449">
              <w:rPr>
                <w:rFonts w:cs="Arial"/>
                <w:b/>
                <w:bCs/>
                <w:color w:val="000000"/>
                <w:szCs w:val="22"/>
              </w:rPr>
              <w:t>(19,519)</w:t>
            </w:r>
          </w:p>
        </w:tc>
        <w:tc>
          <w:tcPr>
            <w:tcW w:w="1223" w:type="dxa"/>
            <w:tcBorders>
              <w:top w:val="single" w:sz="4" w:space="0" w:color="auto"/>
              <w:bottom w:val="single" w:sz="4" w:space="0" w:color="auto"/>
            </w:tcBorders>
            <w:shd w:val="clear" w:color="auto" w:fill="auto"/>
            <w:tcMar>
              <w:right w:w="170" w:type="dxa"/>
            </w:tcMar>
            <w:vAlign w:val="center"/>
            <w:hideMark/>
          </w:tcPr>
          <w:p w14:paraId="13702192" w14:textId="77777777" w:rsidR="00571449" w:rsidRPr="00571449" w:rsidRDefault="00EF486C" w:rsidP="003431AD">
            <w:pPr>
              <w:spacing w:line="240" w:lineRule="auto"/>
              <w:jc w:val="right"/>
              <w:rPr>
                <w:rFonts w:cs="Arial"/>
                <w:b/>
                <w:bCs/>
                <w:color w:val="000000"/>
                <w:szCs w:val="22"/>
              </w:rPr>
            </w:pPr>
            <w:r>
              <w:rPr>
                <w:rFonts w:cs="Arial"/>
                <w:b/>
                <w:bCs/>
                <w:color w:val="000000"/>
                <w:szCs w:val="22"/>
              </w:rPr>
              <w:t>(1,</w:t>
            </w:r>
            <w:r w:rsidR="005653A6">
              <w:rPr>
                <w:rFonts w:cs="Arial"/>
                <w:b/>
                <w:bCs/>
                <w:color w:val="000000"/>
                <w:szCs w:val="22"/>
              </w:rPr>
              <w:t>7</w:t>
            </w:r>
            <w:r w:rsidR="003431AD">
              <w:rPr>
                <w:rFonts w:cs="Arial"/>
                <w:b/>
                <w:bCs/>
                <w:color w:val="000000"/>
                <w:szCs w:val="22"/>
              </w:rPr>
              <w:t>97</w:t>
            </w:r>
            <w:r>
              <w:rPr>
                <w:rFonts w:cs="Arial"/>
                <w:b/>
                <w:bCs/>
                <w:color w:val="000000"/>
                <w:szCs w:val="22"/>
              </w:rPr>
              <w:t>)</w:t>
            </w:r>
          </w:p>
        </w:tc>
        <w:tc>
          <w:tcPr>
            <w:tcW w:w="1223" w:type="dxa"/>
            <w:tcBorders>
              <w:top w:val="single" w:sz="4" w:space="0" w:color="auto"/>
              <w:bottom w:val="single" w:sz="4" w:space="0" w:color="auto"/>
            </w:tcBorders>
            <w:shd w:val="clear" w:color="auto" w:fill="auto"/>
            <w:tcMar>
              <w:right w:w="170" w:type="dxa"/>
            </w:tcMar>
            <w:vAlign w:val="center"/>
            <w:hideMark/>
          </w:tcPr>
          <w:p w14:paraId="13702193" w14:textId="77777777" w:rsidR="00571449" w:rsidRPr="00571449" w:rsidRDefault="00EF486C" w:rsidP="00F90148">
            <w:pPr>
              <w:spacing w:line="240" w:lineRule="auto"/>
              <w:jc w:val="right"/>
              <w:rPr>
                <w:rFonts w:cs="Arial"/>
                <w:b/>
                <w:bCs/>
                <w:color w:val="000000"/>
                <w:szCs w:val="22"/>
              </w:rPr>
            </w:pPr>
            <w:r>
              <w:rPr>
                <w:rFonts w:cs="Arial"/>
                <w:b/>
                <w:bCs/>
                <w:color w:val="000000"/>
                <w:szCs w:val="22"/>
              </w:rPr>
              <w:t>8</w:t>
            </w:r>
            <w:r w:rsidR="00F90148">
              <w:rPr>
                <w:rFonts w:cs="Arial"/>
                <w:b/>
                <w:bCs/>
                <w:color w:val="000000"/>
                <w:szCs w:val="22"/>
              </w:rPr>
              <w:t>69</w:t>
            </w:r>
          </w:p>
        </w:tc>
        <w:tc>
          <w:tcPr>
            <w:tcW w:w="1223" w:type="dxa"/>
            <w:tcBorders>
              <w:top w:val="single" w:sz="4" w:space="0" w:color="auto"/>
              <w:bottom w:val="single" w:sz="4" w:space="0" w:color="auto"/>
            </w:tcBorders>
            <w:shd w:val="clear" w:color="auto" w:fill="auto"/>
            <w:tcMar>
              <w:right w:w="170" w:type="dxa"/>
            </w:tcMar>
            <w:vAlign w:val="center"/>
            <w:hideMark/>
          </w:tcPr>
          <w:p w14:paraId="13702194" w14:textId="77777777" w:rsidR="00571449" w:rsidRPr="00571449" w:rsidRDefault="00F90148" w:rsidP="00F90148">
            <w:pPr>
              <w:spacing w:line="240" w:lineRule="auto"/>
              <w:jc w:val="right"/>
              <w:rPr>
                <w:rFonts w:cs="Arial"/>
                <w:b/>
                <w:bCs/>
                <w:color w:val="000000"/>
                <w:szCs w:val="22"/>
              </w:rPr>
            </w:pPr>
            <w:r>
              <w:rPr>
                <w:rFonts w:cs="Arial"/>
                <w:b/>
                <w:bCs/>
                <w:color w:val="000000"/>
                <w:szCs w:val="22"/>
              </w:rPr>
              <w:t>8</w:t>
            </w:r>
            <w:r w:rsidR="00EF486C">
              <w:rPr>
                <w:rFonts w:cs="Arial"/>
                <w:b/>
                <w:bCs/>
                <w:color w:val="000000"/>
                <w:szCs w:val="22"/>
              </w:rPr>
              <w:t>,6</w:t>
            </w:r>
            <w:r>
              <w:rPr>
                <w:rFonts w:cs="Arial"/>
                <w:b/>
                <w:bCs/>
                <w:color w:val="000000"/>
                <w:szCs w:val="22"/>
              </w:rPr>
              <w:t>06</w:t>
            </w:r>
          </w:p>
        </w:tc>
        <w:tc>
          <w:tcPr>
            <w:tcW w:w="1224" w:type="dxa"/>
            <w:tcBorders>
              <w:top w:val="single" w:sz="4" w:space="0" w:color="auto"/>
              <w:bottom w:val="single" w:sz="4" w:space="0" w:color="auto"/>
            </w:tcBorders>
            <w:shd w:val="clear" w:color="auto" w:fill="auto"/>
            <w:tcMar>
              <w:right w:w="170" w:type="dxa"/>
            </w:tcMar>
            <w:vAlign w:val="center"/>
            <w:hideMark/>
          </w:tcPr>
          <w:p w14:paraId="13702195" w14:textId="77777777" w:rsidR="00571449" w:rsidRPr="00571449" w:rsidRDefault="005653A6" w:rsidP="00F90148">
            <w:pPr>
              <w:spacing w:line="240" w:lineRule="auto"/>
              <w:jc w:val="right"/>
              <w:rPr>
                <w:rFonts w:cs="Arial"/>
                <w:b/>
                <w:bCs/>
                <w:color w:val="000000"/>
                <w:szCs w:val="22"/>
              </w:rPr>
            </w:pPr>
            <w:r>
              <w:rPr>
                <w:rFonts w:cs="Arial"/>
                <w:b/>
                <w:bCs/>
                <w:color w:val="000000"/>
                <w:szCs w:val="22"/>
              </w:rPr>
              <w:t>(1</w:t>
            </w:r>
            <w:r w:rsidR="00F90148">
              <w:rPr>
                <w:rFonts w:cs="Arial"/>
                <w:b/>
                <w:bCs/>
                <w:color w:val="000000"/>
                <w:szCs w:val="22"/>
              </w:rPr>
              <w:t>1</w:t>
            </w:r>
            <w:r w:rsidR="00571449" w:rsidRPr="00571449">
              <w:rPr>
                <w:rFonts w:cs="Arial"/>
                <w:b/>
                <w:bCs/>
                <w:color w:val="000000"/>
                <w:szCs w:val="22"/>
              </w:rPr>
              <w:t>,</w:t>
            </w:r>
            <w:r w:rsidR="00F90148">
              <w:rPr>
                <w:rFonts w:cs="Arial"/>
                <w:b/>
                <w:bCs/>
                <w:color w:val="000000"/>
                <w:szCs w:val="22"/>
              </w:rPr>
              <w:t>841</w:t>
            </w:r>
            <w:r w:rsidR="00571449" w:rsidRPr="00571449">
              <w:rPr>
                <w:rFonts w:cs="Arial"/>
                <w:b/>
                <w:bCs/>
                <w:color w:val="000000"/>
                <w:szCs w:val="22"/>
              </w:rPr>
              <w:t>)</w:t>
            </w:r>
          </w:p>
        </w:tc>
      </w:tr>
    </w:tbl>
    <w:p w14:paraId="13702197" w14:textId="77777777" w:rsidR="004768A1" w:rsidRDefault="004768A1" w:rsidP="00582F03">
      <w:pPr>
        <w:ind w:left="244"/>
      </w:pPr>
    </w:p>
    <w:p w14:paraId="13702198" w14:textId="77777777" w:rsidR="00A42F4D" w:rsidRDefault="00A42F4D" w:rsidP="00582F03">
      <w:pPr>
        <w:ind w:left="244"/>
      </w:pPr>
    </w:p>
    <w:p w14:paraId="13702199" w14:textId="77777777" w:rsidR="004768A1" w:rsidRDefault="004768A1" w:rsidP="00582F03">
      <w:pPr>
        <w:pStyle w:val="Heading2"/>
        <w:ind w:left="601"/>
      </w:pPr>
      <w:r>
        <w:t>Capital Programme</w:t>
      </w:r>
    </w:p>
    <w:p w14:paraId="1370219A" w14:textId="77777777" w:rsidR="004768A1" w:rsidRDefault="00B2075B" w:rsidP="00582F03">
      <w:pPr>
        <w:pStyle w:val="ListParagraph"/>
        <w:ind w:left="955"/>
      </w:pPr>
      <w:r>
        <w:t>Appendix A lists all the capital schemes within the programme and the detail regarding budgets, spending and forecasts.</w:t>
      </w:r>
    </w:p>
    <w:p w14:paraId="1370219B" w14:textId="77777777" w:rsidR="00F85A0E" w:rsidRDefault="00F85A0E" w:rsidP="00582F03">
      <w:pPr>
        <w:pStyle w:val="ListParagraph"/>
        <w:ind w:left="955"/>
      </w:pPr>
      <w:r>
        <w:t>The ‘Allocations’ column in the appendix shows where budgets have been moved between lines, mainly to allocate funding from a generic lines to a specific project.</w:t>
      </w:r>
    </w:p>
    <w:p w14:paraId="1370219C" w14:textId="77777777" w:rsidR="00B2075B" w:rsidRDefault="00F85A0E" w:rsidP="00582F03">
      <w:pPr>
        <w:pStyle w:val="ListParagraph"/>
        <w:ind w:left="955"/>
      </w:pPr>
      <w:r>
        <w:lastRenderedPageBreak/>
        <w:t>The ‘Approval’ column in the appendix shows where new budgets have been approved, for example via a waiver or a Cabinet report.  The ‘Green Links Capital Programme 2019/20’, which was approved by Cabinet in June, accounts for the majority of these figures.</w:t>
      </w:r>
    </w:p>
    <w:p w14:paraId="1370219D" w14:textId="77777777" w:rsidR="00B2075B" w:rsidRDefault="00837B5E" w:rsidP="00582F03">
      <w:pPr>
        <w:pStyle w:val="ListParagraph"/>
        <w:ind w:left="955"/>
      </w:pPr>
      <w:r>
        <w:t>At this early stage of the year there are not many schemes where we can say with certainty that the spending will be different to the budget.  Therefore most of the forecasts match the budgets to show nil variance.  The schemes where we expect there to be underspends are:</w:t>
      </w:r>
    </w:p>
    <w:p w14:paraId="1370219E" w14:textId="77777777" w:rsidR="00837B5E" w:rsidRDefault="00837B5E" w:rsidP="00582F03">
      <w:pPr>
        <w:pStyle w:val="ListParagraph"/>
        <w:numPr>
          <w:ilvl w:val="0"/>
          <w:numId w:val="10"/>
        </w:numPr>
        <w:ind w:left="1240"/>
      </w:pPr>
      <w:r>
        <w:t>Other Parks and Open Spaces – Penwortham Holme Pavilion, Withy Grove Park and Withy Grove Toilets.  These schemes were part of the programme in 2018/19 and were carried forward when the budget was revised as part of the 2019/20 budget process.  In compiling the green links programme, it was decided that these schemes were not as high a priority as others and therefore they have been scheduled for future years rather than 2019/20.</w:t>
      </w:r>
    </w:p>
    <w:p w14:paraId="1370219F" w14:textId="77777777" w:rsidR="00837B5E" w:rsidRDefault="00EA422C" w:rsidP="00582F03">
      <w:pPr>
        <w:pStyle w:val="ListParagraph"/>
        <w:numPr>
          <w:ilvl w:val="0"/>
          <w:numId w:val="10"/>
        </w:numPr>
        <w:ind w:left="1240"/>
      </w:pPr>
      <w:r>
        <w:t xml:space="preserve">Sports Pitch Hub – </w:t>
      </w:r>
      <w:r w:rsidR="00C311CB">
        <w:t>This scheme is still at the early stages of planning and scoping.  Given its scale, the potential involvement of other parties such as neighbouring authorities or Lancashire FA, and the procurement timescales involved with such a large value, it is highly unlikely that any significant spend will occur in 2019/20.</w:t>
      </w:r>
    </w:p>
    <w:p w14:paraId="137021A0" w14:textId="77777777" w:rsidR="00EA422C" w:rsidRDefault="009635C8" w:rsidP="00582F03">
      <w:pPr>
        <w:pStyle w:val="ListParagraph"/>
        <w:numPr>
          <w:ilvl w:val="0"/>
          <w:numId w:val="10"/>
        </w:numPr>
        <w:ind w:left="1240"/>
      </w:pPr>
      <w:r>
        <w:t>Affordable Housing unallocated – This line relates to the Section 106 funding in reserves that has constraints requiring the money to be spent on Affordable Housing only.  At the time of this report there are approved plans to use this funding on specific schemes.</w:t>
      </w:r>
    </w:p>
    <w:p w14:paraId="137021A1" w14:textId="77777777" w:rsidR="009635C8" w:rsidRDefault="00D22220" w:rsidP="00582F03">
      <w:pPr>
        <w:pStyle w:val="ListParagraph"/>
        <w:numPr>
          <w:ilvl w:val="0"/>
          <w:numId w:val="10"/>
        </w:numPr>
        <w:ind w:left="1240"/>
      </w:pPr>
      <w:r>
        <w:t>Masterp</w:t>
      </w:r>
      <w:r w:rsidR="00F329BF">
        <w:t>l</w:t>
      </w:r>
      <w:r>
        <w:t xml:space="preserve">anning &amp; Regeneration unallocated – Similar to the point above, this line relates to a generic budget that is intended to be allocated to specific schemes once they are properly defined and approved.  </w:t>
      </w:r>
      <w:r w:rsidR="00917CB5">
        <w:t>Currently</w:t>
      </w:r>
      <w:r>
        <w:t xml:space="preserve"> there are no projects identified that this budget would be allocated against.</w:t>
      </w:r>
    </w:p>
    <w:p w14:paraId="137021A2" w14:textId="77777777" w:rsidR="00D22220" w:rsidRDefault="00917CB5" w:rsidP="00582F03">
      <w:pPr>
        <w:pStyle w:val="ListParagraph"/>
        <w:numPr>
          <w:ilvl w:val="0"/>
          <w:numId w:val="10"/>
        </w:numPr>
        <w:ind w:left="1240"/>
      </w:pPr>
      <w:r>
        <w:t>Private Sector Home Improvement Grants – Again, this line is similar to the two points above.</w:t>
      </w:r>
      <w:r w:rsidR="00F329BF">
        <w:t xml:space="preserve">  The budget in the MTFS across 2019/20 to 2022/23 was set at a higher level with the intention to ‘use up’ the remaining</w:t>
      </w:r>
      <w:r>
        <w:t xml:space="preserve"> </w:t>
      </w:r>
      <w:r w:rsidR="00F329BF">
        <w:t>balance of the capital receipts funding by developing further schemes.</w:t>
      </w:r>
      <w:r>
        <w:t xml:space="preserve"> </w:t>
      </w:r>
      <w:r w:rsidR="00F329BF">
        <w:t xml:space="preserve"> The scheme w</w:t>
      </w:r>
      <w:r>
        <w:t xml:space="preserve">as </w:t>
      </w:r>
      <w:r w:rsidR="00F329BF">
        <w:t>already in t</w:t>
      </w:r>
      <w:r>
        <w:t>he programme</w:t>
      </w:r>
      <w:r w:rsidR="00F329BF">
        <w:t xml:space="preserve"> but the previous budgets were much lower.  A more realistic figure has been set as the forecast because there are no plans for further schemes at this stage.</w:t>
      </w:r>
    </w:p>
    <w:p w14:paraId="137021A3" w14:textId="77777777" w:rsidR="00837B5E" w:rsidRDefault="00EA422C" w:rsidP="00582F03">
      <w:pPr>
        <w:pStyle w:val="ListParagraph"/>
        <w:numPr>
          <w:ilvl w:val="0"/>
          <w:numId w:val="10"/>
        </w:numPr>
        <w:ind w:left="1240"/>
      </w:pPr>
      <w:r>
        <w:t>Green Links – We do not expect there to be an overall underspends The ‘unallocated’ line needs to be allocated to the relevant schemes but it is not yet clear what the final distribution needs to be</w:t>
      </w:r>
    </w:p>
    <w:p w14:paraId="137021A4" w14:textId="77777777" w:rsidR="00CB2A6D" w:rsidRDefault="00CB2A6D" w:rsidP="00582F03">
      <w:pPr>
        <w:pStyle w:val="ListParagraph"/>
        <w:ind w:left="955"/>
      </w:pPr>
      <w:r>
        <w:t>Other issues to be aware of are:</w:t>
      </w:r>
    </w:p>
    <w:p w14:paraId="137021A5" w14:textId="77777777" w:rsidR="00514FF3" w:rsidRDefault="00C04961" w:rsidP="00582F03">
      <w:pPr>
        <w:pStyle w:val="ListParagraph"/>
        <w:numPr>
          <w:ilvl w:val="0"/>
          <w:numId w:val="13"/>
        </w:numPr>
        <w:ind w:left="1240"/>
      </w:pPr>
      <w:r>
        <w:t>IT Unallocated Funding</w:t>
      </w:r>
      <w:r w:rsidR="00CB2A6D">
        <w:t xml:space="preserve"> – T</w:t>
      </w:r>
      <w:r w:rsidRPr="00C04961">
        <w:t>here is still a balance of £177,000 to be allocated to projects</w:t>
      </w:r>
      <w:r w:rsidR="00924558">
        <w:t>.</w:t>
      </w:r>
      <w:r w:rsidRPr="00C04961">
        <w:t xml:space="preserve"> </w:t>
      </w:r>
      <w:r w:rsidR="00924558">
        <w:t xml:space="preserve"> T</w:t>
      </w:r>
      <w:r w:rsidR="00924558" w:rsidRPr="00924558">
        <w:t xml:space="preserve">he Digital Strategy identified multiple areas </w:t>
      </w:r>
      <w:r w:rsidR="00924558">
        <w:t>for investment in IT.  A</w:t>
      </w:r>
      <w:r w:rsidRPr="00C04961">
        <w:t xml:space="preserve"> review of projects, their progress against project plan projections and costings against budget is being undertaken which will inform </w:t>
      </w:r>
      <w:r w:rsidR="00924558">
        <w:t>the forecast.</w:t>
      </w:r>
    </w:p>
    <w:p w14:paraId="137021A6" w14:textId="77777777" w:rsidR="005C3FD7" w:rsidRDefault="00CB2A6D" w:rsidP="00582F03">
      <w:pPr>
        <w:pStyle w:val="ListParagraph"/>
        <w:numPr>
          <w:ilvl w:val="0"/>
          <w:numId w:val="13"/>
        </w:numPr>
        <w:ind w:left="1240"/>
      </w:pPr>
      <w:r>
        <w:t>Investment Property</w:t>
      </w:r>
      <w:r w:rsidR="00D3198B">
        <w:t xml:space="preserve"> </w:t>
      </w:r>
      <w:r>
        <w:t>–</w:t>
      </w:r>
      <w:r w:rsidR="00D3198B">
        <w:t xml:space="preserve"> </w:t>
      </w:r>
      <w:r>
        <w:t>This line relates to the ‘Borough Investment Reserve’</w:t>
      </w:r>
      <w:r w:rsidR="003431AD">
        <w:t xml:space="preserve"> which is </w:t>
      </w:r>
      <w:r w:rsidR="00D3198B">
        <w:t xml:space="preserve">£4,550,000 </w:t>
      </w:r>
      <w:r w:rsidR="003431AD">
        <w:t xml:space="preserve">set aside </w:t>
      </w:r>
      <w:r w:rsidR="00CB5A0A">
        <w:t xml:space="preserve">should </w:t>
      </w:r>
      <w:r w:rsidR="003431AD">
        <w:t xml:space="preserve">any suitable properties </w:t>
      </w:r>
      <w:r w:rsidR="001C3D3C">
        <w:t>for investment</w:t>
      </w:r>
      <w:r w:rsidR="00CB5A0A">
        <w:t xml:space="preserve"> be identified</w:t>
      </w:r>
      <w:r w:rsidR="001C3D3C">
        <w:t>.  No suitable schemes have been identified to date</w:t>
      </w:r>
      <w:r w:rsidR="00D3198B">
        <w:t>.</w:t>
      </w:r>
      <w:r w:rsidR="00CB5A0A">
        <w:t xml:space="preserve"> </w:t>
      </w:r>
    </w:p>
    <w:p w14:paraId="137021A7" w14:textId="77777777" w:rsidR="00D3198B" w:rsidRDefault="00D3198B" w:rsidP="00582F03">
      <w:pPr>
        <w:pStyle w:val="ListParagraph"/>
        <w:numPr>
          <w:ilvl w:val="0"/>
          <w:numId w:val="13"/>
        </w:numPr>
        <w:ind w:left="1240"/>
      </w:pPr>
      <w:r>
        <w:t xml:space="preserve">Empty Homes Grants – The council is in partnership with Methodist Action (North West) to bring long term empty properties in South Ribble back into use. The partnership was set up in 2016 and the council has committed £100,000 to the scheme. Grant funding of </w:t>
      </w:r>
      <w:r>
        <w:lastRenderedPageBreak/>
        <w:t xml:space="preserve">c£60,000 has been provided to-date which has brought 5 empty properties back into use which Methodist Action have rented out to applicants from the council’s housing options list. </w:t>
      </w:r>
      <w:r w:rsidR="005406E9">
        <w:t xml:space="preserve">The partnership agreement requires the rental income from the properties funded from the grant to be ring-fenced to fund work to further properties in South Ribble. Unfortunately Methodist Action went into liquidation in August and the council has requested the repayment of the cumulative rental income held by Methodist Action which is in the region of £21,000.  </w:t>
      </w:r>
    </w:p>
    <w:p w14:paraId="137021A8" w14:textId="77777777" w:rsidR="00D3198B" w:rsidRPr="002C71DE" w:rsidRDefault="00D3198B" w:rsidP="00582F03">
      <w:pPr>
        <w:ind w:left="880"/>
      </w:pPr>
    </w:p>
    <w:p w14:paraId="137021A9" w14:textId="77777777" w:rsidR="006F48D4" w:rsidRPr="000828CC" w:rsidRDefault="006F48D4" w:rsidP="00582F03">
      <w:pPr>
        <w:pStyle w:val="Heading1"/>
      </w:pPr>
      <w:r w:rsidRPr="000828CC">
        <w:t>CONSULTATION CARRIED OUT AND OUTCOME OF CONSULTATION</w:t>
      </w:r>
    </w:p>
    <w:p w14:paraId="137021AA" w14:textId="77777777" w:rsidR="006F48D4" w:rsidRPr="0048727F" w:rsidRDefault="005C3FD7" w:rsidP="00582F03">
      <w:pPr>
        <w:pStyle w:val="ListParagraph"/>
        <w:ind w:left="955"/>
      </w:pPr>
      <w:r>
        <w:t>Not applicable</w:t>
      </w:r>
    </w:p>
    <w:p w14:paraId="137021AB" w14:textId="77777777" w:rsidR="006F48D4" w:rsidRPr="0048727F" w:rsidRDefault="006F48D4" w:rsidP="00582F03">
      <w:bookmarkStart w:id="0" w:name="_GoBack"/>
      <w:bookmarkEnd w:id="0"/>
    </w:p>
    <w:p w14:paraId="137021AC" w14:textId="77777777" w:rsidR="006F48D4" w:rsidRPr="000828CC" w:rsidRDefault="006F48D4" w:rsidP="00582F03">
      <w:pPr>
        <w:pStyle w:val="Heading1"/>
      </w:pPr>
      <w:r w:rsidRPr="000828CC">
        <w:t>ALTERNATIVE OPTIONS CONSIDERED AND REJECTED</w:t>
      </w:r>
    </w:p>
    <w:p w14:paraId="137021AD" w14:textId="77777777" w:rsidR="006F48D4" w:rsidRPr="005C3FD7" w:rsidRDefault="005C3FD7" w:rsidP="00582F03">
      <w:pPr>
        <w:pStyle w:val="ListParagraph"/>
        <w:ind w:left="955"/>
      </w:pPr>
      <w:r w:rsidRPr="005C3FD7">
        <w:t>Not appl</w:t>
      </w:r>
      <w:r>
        <w:t>icable</w:t>
      </w:r>
    </w:p>
    <w:p w14:paraId="137021AE" w14:textId="77777777" w:rsidR="006F48D4" w:rsidRPr="000828CC" w:rsidRDefault="006F48D4" w:rsidP="00582F03"/>
    <w:p w14:paraId="137021AF" w14:textId="77777777" w:rsidR="006F48D4" w:rsidRPr="000828CC" w:rsidRDefault="006F48D4" w:rsidP="00582F03">
      <w:pPr>
        <w:pStyle w:val="Heading1"/>
        <w:rPr>
          <w:caps w:val="0"/>
        </w:rPr>
      </w:pPr>
      <w:r w:rsidRPr="000828CC">
        <w:t>Financial implications</w:t>
      </w:r>
    </w:p>
    <w:p w14:paraId="137021B0" w14:textId="77777777" w:rsidR="006F48D4" w:rsidRPr="002C71DE" w:rsidRDefault="00227261" w:rsidP="00582F03">
      <w:pPr>
        <w:pStyle w:val="ListParagraph"/>
        <w:ind w:left="955"/>
        <w:rPr>
          <w:caps/>
        </w:rPr>
      </w:pPr>
      <w:r>
        <w:rPr>
          <w:caps/>
        </w:rPr>
        <w:t>T</w:t>
      </w:r>
      <w:r>
        <w:t>he</w:t>
      </w:r>
      <w:r>
        <w:rPr>
          <w:caps/>
        </w:rPr>
        <w:t xml:space="preserve"> </w:t>
      </w:r>
      <w:r>
        <w:t>financial implications are contained within the report.</w:t>
      </w:r>
      <w:r>
        <w:rPr>
          <w:caps/>
        </w:rPr>
        <w:t xml:space="preserve"> </w:t>
      </w:r>
    </w:p>
    <w:p w14:paraId="137021B1" w14:textId="77777777" w:rsidR="006F48D4" w:rsidRPr="000828CC" w:rsidRDefault="006F48D4" w:rsidP="00582F03"/>
    <w:p w14:paraId="137021B2" w14:textId="77777777" w:rsidR="006F48D4" w:rsidRPr="000828CC" w:rsidRDefault="006F48D4" w:rsidP="00582F03">
      <w:pPr>
        <w:pStyle w:val="Heading1"/>
        <w:rPr>
          <w:caps w:val="0"/>
        </w:rPr>
      </w:pPr>
      <w:r w:rsidRPr="000828CC">
        <w:t>LEGAL IMPLICATIONS</w:t>
      </w:r>
    </w:p>
    <w:p w14:paraId="137021B3" w14:textId="77777777" w:rsidR="006F48D4" w:rsidRPr="002C37A6" w:rsidRDefault="002C37A6" w:rsidP="00582F03">
      <w:pPr>
        <w:pStyle w:val="ListParagraph"/>
        <w:ind w:left="955"/>
      </w:pPr>
      <w:r w:rsidRPr="002C37A6">
        <w:t>The report is primarily for information purposes. Overall it presents a positive picture. There are no concerns or issues to raise from a legal perspective.</w:t>
      </w:r>
    </w:p>
    <w:p w14:paraId="137021B4" w14:textId="77777777" w:rsidR="005C3FD7" w:rsidRPr="005C3FD7" w:rsidRDefault="005C3FD7" w:rsidP="00582F03">
      <w:pPr>
        <w:rPr>
          <w:caps/>
        </w:rPr>
      </w:pPr>
    </w:p>
    <w:p w14:paraId="137021B5" w14:textId="77777777" w:rsidR="006F48D4" w:rsidRDefault="006F48D4" w:rsidP="00582F03">
      <w:pPr>
        <w:pStyle w:val="Heading1"/>
        <w:rPr>
          <w:caps w:val="0"/>
        </w:rPr>
      </w:pPr>
      <w:r w:rsidRPr="002C71DE">
        <w:t>AIR QUALITY IMPLICATIONS</w:t>
      </w:r>
    </w:p>
    <w:p w14:paraId="137021B6" w14:textId="77777777" w:rsidR="006F48D4" w:rsidRPr="002C71DE" w:rsidRDefault="00A322B5" w:rsidP="00582F03">
      <w:pPr>
        <w:pStyle w:val="ListParagraph"/>
        <w:ind w:left="955"/>
        <w:rPr>
          <w:caps/>
        </w:rPr>
      </w:pPr>
      <w:r>
        <w:t>There</w:t>
      </w:r>
      <w:r w:rsidR="00505F0A">
        <w:t xml:space="preserve"> are </w:t>
      </w:r>
      <w:r>
        <w:t xml:space="preserve">no air quality implications that are </w:t>
      </w:r>
      <w:r w:rsidR="00505F0A">
        <w:t>specific to this report.</w:t>
      </w:r>
    </w:p>
    <w:p w14:paraId="137021B7" w14:textId="77777777" w:rsidR="006F48D4" w:rsidRPr="007A0801" w:rsidRDefault="006F48D4" w:rsidP="00582F03">
      <w:pPr>
        <w:rPr>
          <w:rFonts w:cs="Arial"/>
          <w:caps/>
        </w:rPr>
      </w:pPr>
    </w:p>
    <w:p w14:paraId="137021B8" w14:textId="77777777" w:rsidR="006F48D4" w:rsidRDefault="006F48D4" w:rsidP="00582F03">
      <w:pPr>
        <w:pStyle w:val="Heading1"/>
        <w:rPr>
          <w:caps w:val="0"/>
        </w:rPr>
      </w:pPr>
      <w:r w:rsidRPr="00491976">
        <w:t>Human Resources and Organisational Development implications</w:t>
      </w:r>
    </w:p>
    <w:p w14:paraId="137021B9" w14:textId="77777777" w:rsidR="006F48D4" w:rsidRPr="002C37A6" w:rsidRDefault="002A6DD9" w:rsidP="00582F03">
      <w:pPr>
        <w:pStyle w:val="ListParagraph"/>
        <w:ind w:left="955"/>
      </w:pPr>
      <w:r>
        <w:t>There are no specific implications regarding this report.  The main considerations are vacant posts, in particular within shared services senior management.</w:t>
      </w:r>
    </w:p>
    <w:p w14:paraId="137021BA" w14:textId="77777777" w:rsidR="006F48D4" w:rsidRDefault="006F48D4" w:rsidP="00582F03"/>
    <w:p w14:paraId="137021BB" w14:textId="77777777" w:rsidR="006F48D4" w:rsidRDefault="006F48D4" w:rsidP="00582F03">
      <w:pPr>
        <w:pStyle w:val="Heading1"/>
        <w:rPr>
          <w:caps w:val="0"/>
        </w:rPr>
      </w:pPr>
      <w:r w:rsidRPr="00491976">
        <w:t>ICT</w:t>
      </w:r>
      <w:r w:rsidR="00D44314">
        <w:t xml:space="preserve"> </w:t>
      </w:r>
      <w:r w:rsidRPr="00491976">
        <w:t>/</w:t>
      </w:r>
      <w:r w:rsidR="00D44314">
        <w:t xml:space="preserve"> </w:t>
      </w:r>
      <w:r w:rsidRPr="00491976">
        <w:t>technology implications</w:t>
      </w:r>
    </w:p>
    <w:p w14:paraId="137021BC" w14:textId="77777777" w:rsidR="006F48D4" w:rsidRPr="002C37A6" w:rsidRDefault="0020546E" w:rsidP="00582F03">
      <w:pPr>
        <w:pStyle w:val="ListParagraph"/>
        <w:ind w:left="955"/>
      </w:pPr>
      <w:r>
        <w:t>The revenue budget for IT has a forecasted underspend due to vacancies, as detailed in the Staffing Costs section above.  The capital programme includes a total budget of £200,000 for IT projects.  To date, £23,000 has been allocated to two schemes, leaving a balance of £177,000.  There are also two other IT related schemes that have been funded from alternative sources.</w:t>
      </w:r>
    </w:p>
    <w:p w14:paraId="137021BD" w14:textId="77777777" w:rsidR="006F48D4" w:rsidRDefault="006F48D4" w:rsidP="00582F03"/>
    <w:p w14:paraId="137021BE" w14:textId="77777777" w:rsidR="006F48D4" w:rsidRDefault="006F48D4" w:rsidP="00582F03">
      <w:pPr>
        <w:pStyle w:val="Heading1"/>
        <w:rPr>
          <w:caps w:val="0"/>
        </w:rPr>
      </w:pPr>
      <w:r w:rsidRPr="00491976">
        <w:t>Property and Asset Management implications</w:t>
      </w:r>
    </w:p>
    <w:p w14:paraId="137021BF" w14:textId="77777777" w:rsidR="006F48D4" w:rsidRPr="002C37A6" w:rsidRDefault="002C37A6" w:rsidP="00582F03">
      <w:pPr>
        <w:pStyle w:val="ListParagraph"/>
        <w:ind w:left="955"/>
      </w:pPr>
      <w:r>
        <w:t xml:space="preserve">The main </w:t>
      </w:r>
      <w:r w:rsidR="0020546E">
        <w:t xml:space="preserve">consideration </w:t>
      </w:r>
      <w:r>
        <w:t>relating to</w:t>
      </w:r>
      <w:r w:rsidR="0020546E">
        <w:t xml:space="preserve"> property and assets is t</w:t>
      </w:r>
      <w:r>
        <w:t xml:space="preserve">he ‘Investment Property’ line in the capital programme reflects the intended use of the ‘Borough Investment Reserve’, which has a balance of £4,550,000.  </w:t>
      </w:r>
    </w:p>
    <w:p w14:paraId="137021C0" w14:textId="77777777" w:rsidR="006F48D4" w:rsidRPr="006D1F02" w:rsidRDefault="006F48D4" w:rsidP="00582F03"/>
    <w:p w14:paraId="137021C1" w14:textId="77777777" w:rsidR="006F48D4" w:rsidRDefault="006F48D4" w:rsidP="00582F03">
      <w:pPr>
        <w:pStyle w:val="Heading1"/>
      </w:pPr>
      <w:r>
        <w:lastRenderedPageBreak/>
        <w:t>RISK MANAGEMENT</w:t>
      </w:r>
    </w:p>
    <w:p w14:paraId="137021C2" w14:textId="77777777" w:rsidR="006F48D4" w:rsidRPr="00BF74BB" w:rsidRDefault="00BF74BB" w:rsidP="00582F03">
      <w:pPr>
        <w:pStyle w:val="ListParagraph"/>
        <w:ind w:left="955"/>
      </w:pPr>
      <w:r>
        <w:t>Where applicable, particular risks are mentioned in the previous sections of this report.  The main overarching risk is that the assumptions made in compiling a forecast outturn are unreliable or inaccurate.  Forecasts have been made using the best information available and drawing on the knowledge and expertise of officers within service areas and the finance team itself.</w:t>
      </w:r>
    </w:p>
    <w:p w14:paraId="137021C3" w14:textId="77777777" w:rsidR="006F48D4" w:rsidRPr="002C71DE" w:rsidRDefault="006F48D4" w:rsidP="00582F03"/>
    <w:p w14:paraId="137021C4" w14:textId="77777777" w:rsidR="006F48D4" w:rsidRDefault="006F48D4" w:rsidP="00582F03">
      <w:pPr>
        <w:pStyle w:val="Heading1"/>
      </w:pPr>
      <w:r w:rsidRPr="005404A1">
        <w:t xml:space="preserve">EQUALITY </w:t>
      </w:r>
      <w:r>
        <w:t xml:space="preserve">AND DIVERSITY </w:t>
      </w:r>
      <w:r w:rsidRPr="005404A1">
        <w:t>IMPACT</w:t>
      </w:r>
    </w:p>
    <w:p w14:paraId="137021C5" w14:textId="77777777" w:rsidR="006F48D4" w:rsidRPr="00BF74BB" w:rsidRDefault="00505F0A" w:rsidP="00582F03">
      <w:pPr>
        <w:pStyle w:val="ListParagraph"/>
        <w:ind w:left="955"/>
      </w:pPr>
      <w:r w:rsidRPr="00505F0A">
        <w:t>This report is not considered to have any adverse impact on equality</w:t>
      </w:r>
      <w:r>
        <w:t>.</w:t>
      </w:r>
    </w:p>
    <w:p w14:paraId="137021C6" w14:textId="77777777" w:rsidR="006F48D4" w:rsidRPr="00BE0127" w:rsidRDefault="006F48D4" w:rsidP="00582F03"/>
    <w:p w14:paraId="137021C7" w14:textId="77777777" w:rsidR="006F48D4" w:rsidRDefault="006F48D4" w:rsidP="00582F03">
      <w:pPr>
        <w:pStyle w:val="Heading1"/>
      </w:pPr>
      <w:r w:rsidRPr="002C71DE">
        <w:t>RELEVANT DIRECTOR</w:t>
      </w:r>
      <w:r w:rsidR="005701ED">
        <w:t>’</w:t>
      </w:r>
      <w:r w:rsidRPr="002C71DE">
        <w:t xml:space="preserve">S RECOMMENDATIONS </w:t>
      </w:r>
    </w:p>
    <w:p w14:paraId="137021C8" w14:textId="77777777" w:rsidR="006F48D4" w:rsidRPr="002C71DE" w:rsidRDefault="00AA43C2" w:rsidP="00582F03">
      <w:pPr>
        <w:pStyle w:val="ListParagraph"/>
        <w:ind w:left="955"/>
      </w:pPr>
      <w:r>
        <w:t>None</w:t>
      </w:r>
    </w:p>
    <w:p w14:paraId="137021C9" w14:textId="77777777" w:rsidR="006F48D4" w:rsidRPr="002C71DE" w:rsidRDefault="006F48D4" w:rsidP="00582F03"/>
    <w:p w14:paraId="137021CA" w14:textId="77777777" w:rsidR="006F48D4" w:rsidRDefault="006F48D4" w:rsidP="00582F03">
      <w:pPr>
        <w:pStyle w:val="Heading1"/>
      </w:pPr>
      <w:r w:rsidRPr="000A68B2">
        <w:t>C</w:t>
      </w:r>
      <w:r>
        <w:t>OMMENTS OF THE STATUTORY FINANCE OFFICER</w:t>
      </w:r>
    </w:p>
    <w:p w14:paraId="137021CB" w14:textId="77777777" w:rsidR="006F48D4" w:rsidRPr="00BF74BB" w:rsidRDefault="002C37A6" w:rsidP="00582F03">
      <w:pPr>
        <w:pStyle w:val="ListParagraph"/>
        <w:ind w:left="955"/>
      </w:pPr>
      <w:r>
        <w:t>No further comments.</w:t>
      </w:r>
    </w:p>
    <w:p w14:paraId="137021CC" w14:textId="77777777" w:rsidR="006F48D4" w:rsidRPr="004206AE" w:rsidRDefault="006F48D4" w:rsidP="00582F03"/>
    <w:p w14:paraId="137021CD" w14:textId="77777777" w:rsidR="006F48D4" w:rsidRDefault="006F48D4" w:rsidP="00582F03">
      <w:pPr>
        <w:pStyle w:val="Heading1"/>
      </w:pPr>
      <w:r w:rsidRPr="000A68B2">
        <w:t>C</w:t>
      </w:r>
      <w:r>
        <w:t>OMMENTS OF THE MONITORING OFFICER</w:t>
      </w:r>
    </w:p>
    <w:p w14:paraId="137021CE" w14:textId="77777777" w:rsidR="006F48D4" w:rsidRPr="00BF74BB" w:rsidRDefault="002C37A6" w:rsidP="00582F03">
      <w:pPr>
        <w:pStyle w:val="ListParagraph"/>
        <w:ind w:left="955"/>
      </w:pPr>
      <w:r w:rsidRPr="002C37A6">
        <w:t>Clearly it is important that a council should report openly and transparently with regard to the monitoring of the budget. Residents need to know how the council is performing. From a legal perspective there are no concerns to report.</w:t>
      </w:r>
    </w:p>
    <w:p w14:paraId="137021CF" w14:textId="77777777" w:rsidR="006F48D4" w:rsidRDefault="006F48D4" w:rsidP="00582F03"/>
    <w:p w14:paraId="137021D0" w14:textId="77777777" w:rsidR="006F48D4" w:rsidRDefault="006F48D4" w:rsidP="00582F03">
      <w:pPr>
        <w:pStyle w:val="Heading1"/>
      </w:pPr>
      <w:r>
        <w:t xml:space="preserve">BACKGROUND DOCUMENTS </w:t>
      </w:r>
    </w:p>
    <w:p w14:paraId="137021D1" w14:textId="77777777" w:rsidR="00227261" w:rsidRDefault="00227261" w:rsidP="00582F03">
      <w:r>
        <w:t xml:space="preserve">Budget Report and Medium Term Financial Strategy – February 2019.  </w:t>
      </w:r>
    </w:p>
    <w:p w14:paraId="137021D2" w14:textId="77777777" w:rsidR="00227261" w:rsidRPr="00227261" w:rsidRDefault="00227261" w:rsidP="00582F03"/>
    <w:p w14:paraId="137021D3" w14:textId="77777777" w:rsidR="006F48D4" w:rsidRPr="004C2F94" w:rsidRDefault="005205A2" w:rsidP="00582F03">
      <w:pPr>
        <w:pStyle w:val="Heading1"/>
      </w:pPr>
      <w:r>
        <w:t>APPENDICES</w:t>
      </w:r>
    </w:p>
    <w:p w14:paraId="137021D4" w14:textId="77777777" w:rsidR="006F48D4" w:rsidRDefault="005205A2" w:rsidP="00582F03">
      <w:r>
        <w:t>Appendix A – Capital Programme 2019-20</w:t>
      </w:r>
    </w:p>
    <w:p w14:paraId="137021D5" w14:textId="77777777" w:rsidR="002A6DD9" w:rsidRPr="00BF74BB" w:rsidRDefault="002A6DD9" w:rsidP="00582F03"/>
    <w:p w14:paraId="137021D6" w14:textId="77777777" w:rsidR="006F48D4" w:rsidRDefault="006F48D4" w:rsidP="00582F03"/>
    <w:p w14:paraId="137021D7" w14:textId="77777777" w:rsidR="005205A2" w:rsidRPr="00BF74BB" w:rsidRDefault="005205A2" w:rsidP="00582F03"/>
    <w:p w14:paraId="137021D8" w14:textId="77777777" w:rsidR="006F48D4" w:rsidRPr="00227261" w:rsidRDefault="006F48D4" w:rsidP="00582F03">
      <w:pPr>
        <w:tabs>
          <w:tab w:val="left" w:pos="2839"/>
        </w:tabs>
        <w:ind w:left="313" w:hanging="426"/>
        <w:rPr>
          <w:rFonts w:cs="Arial"/>
        </w:rPr>
      </w:pPr>
      <w:r w:rsidRPr="00227261">
        <w:rPr>
          <w:rFonts w:cs="Arial"/>
        </w:rPr>
        <w:t>L</w:t>
      </w:r>
      <w:r w:rsidR="002A6DD9">
        <w:rPr>
          <w:rFonts w:cs="Arial"/>
        </w:rPr>
        <w:t xml:space="preserve">eadership </w:t>
      </w:r>
      <w:r w:rsidRPr="00227261">
        <w:rPr>
          <w:rFonts w:cs="Arial"/>
        </w:rPr>
        <w:t>T</w:t>
      </w:r>
      <w:r w:rsidR="002A6DD9">
        <w:rPr>
          <w:rFonts w:cs="Arial"/>
        </w:rPr>
        <w:t>eam</w:t>
      </w:r>
      <w:r w:rsidRPr="00227261">
        <w:rPr>
          <w:rFonts w:cs="Arial"/>
        </w:rPr>
        <w:t xml:space="preserve"> Member’s Name:</w:t>
      </w:r>
      <w:r w:rsidR="00227261" w:rsidRPr="00227261">
        <w:rPr>
          <w:rFonts w:cs="Arial"/>
        </w:rPr>
        <w:t xml:space="preserve"> Jane Blundell</w:t>
      </w:r>
    </w:p>
    <w:p w14:paraId="137021D9" w14:textId="77777777" w:rsidR="006F48D4" w:rsidRPr="00227261" w:rsidRDefault="006F48D4" w:rsidP="00582F03">
      <w:pPr>
        <w:tabs>
          <w:tab w:val="left" w:pos="2839"/>
        </w:tabs>
        <w:rPr>
          <w:rFonts w:cs="Arial"/>
        </w:rPr>
      </w:pPr>
      <w:r w:rsidRPr="00227261">
        <w:rPr>
          <w:rFonts w:cs="Arial"/>
        </w:rPr>
        <w:t>Job Title</w:t>
      </w:r>
      <w:r w:rsidR="00227261" w:rsidRPr="00227261">
        <w:rPr>
          <w:rFonts w:cs="Arial"/>
        </w:rPr>
        <w:t>: Interim s151 Officer</w:t>
      </w:r>
      <w:r w:rsidRPr="00227261">
        <w:rPr>
          <w:rFonts w:cs="Arial"/>
        </w:rPr>
        <w:t xml:space="preserve"> </w:t>
      </w:r>
    </w:p>
    <w:p w14:paraId="137021DA" w14:textId="77777777" w:rsidR="006F48D4" w:rsidRPr="00BF74BB" w:rsidRDefault="006F48D4" w:rsidP="00582F0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1753"/>
        <w:gridCol w:w="2351"/>
      </w:tblGrid>
      <w:tr w:rsidR="006F48D4" w14:paraId="137021DE" w14:textId="77777777" w:rsidTr="00582F03">
        <w:tc>
          <w:tcPr>
            <w:tcW w:w="5416" w:type="dxa"/>
            <w:shd w:val="clear" w:color="auto" w:fill="auto"/>
          </w:tcPr>
          <w:p w14:paraId="137021DB" w14:textId="77777777" w:rsidR="006F48D4" w:rsidRPr="0031059E" w:rsidRDefault="006F48D4" w:rsidP="00F80A0C">
            <w:pPr>
              <w:rPr>
                <w:rFonts w:cs="Arial"/>
              </w:rPr>
            </w:pPr>
            <w:r w:rsidRPr="0031059E">
              <w:rPr>
                <w:rFonts w:cs="Arial"/>
              </w:rPr>
              <w:t>Report Author:</w:t>
            </w:r>
          </w:p>
        </w:tc>
        <w:tc>
          <w:tcPr>
            <w:tcW w:w="1753" w:type="dxa"/>
            <w:shd w:val="clear" w:color="auto" w:fill="auto"/>
          </w:tcPr>
          <w:p w14:paraId="137021DC" w14:textId="77777777" w:rsidR="006F48D4" w:rsidRPr="0031059E" w:rsidRDefault="006F48D4" w:rsidP="00F80A0C">
            <w:pPr>
              <w:rPr>
                <w:rFonts w:cs="Arial"/>
              </w:rPr>
            </w:pPr>
            <w:r w:rsidRPr="0031059E">
              <w:rPr>
                <w:rFonts w:cs="Arial"/>
              </w:rPr>
              <w:t>Telephone:</w:t>
            </w:r>
          </w:p>
        </w:tc>
        <w:tc>
          <w:tcPr>
            <w:tcW w:w="2351" w:type="dxa"/>
            <w:shd w:val="clear" w:color="auto" w:fill="auto"/>
          </w:tcPr>
          <w:p w14:paraId="137021DD" w14:textId="77777777" w:rsidR="006F48D4" w:rsidRPr="0031059E" w:rsidRDefault="006F48D4" w:rsidP="00F80A0C">
            <w:pPr>
              <w:rPr>
                <w:rFonts w:cs="Arial"/>
              </w:rPr>
            </w:pPr>
            <w:r w:rsidRPr="0031059E">
              <w:rPr>
                <w:rFonts w:cs="Arial"/>
              </w:rPr>
              <w:t>Date:</w:t>
            </w:r>
          </w:p>
        </w:tc>
      </w:tr>
      <w:tr w:rsidR="007F100A" w14:paraId="137021E2" w14:textId="77777777" w:rsidTr="00582F03">
        <w:tc>
          <w:tcPr>
            <w:tcW w:w="5416" w:type="dxa"/>
            <w:shd w:val="clear" w:color="auto" w:fill="auto"/>
          </w:tcPr>
          <w:p w14:paraId="137021DF" w14:textId="77777777" w:rsidR="007F100A" w:rsidRDefault="007F100A" w:rsidP="007F100A">
            <w:r>
              <w:t>James McNulty, Senior Management Accountant</w:t>
            </w:r>
          </w:p>
        </w:tc>
        <w:tc>
          <w:tcPr>
            <w:tcW w:w="1753" w:type="dxa"/>
            <w:shd w:val="clear" w:color="auto" w:fill="auto"/>
          </w:tcPr>
          <w:p w14:paraId="137021E0" w14:textId="77777777" w:rsidR="007F100A" w:rsidRDefault="007F100A" w:rsidP="00D44314">
            <w:pPr>
              <w:rPr>
                <w:rFonts w:cs="Arial"/>
              </w:rPr>
            </w:pPr>
            <w:r>
              <w:rPr>
                <w:rFonts w:cs="Arial"/>
              </w:rPr>
              <w:t>01772 62 5289</w:t>
            </w:r>
          </w:p>
        </w:tc>
        <w:tc>
          <w:tcPr>
            <w:tcW w:w="2351" w:type="dxa"/>
            <w:vMerge w:val="restart"/>
            <w:shd w:val="clear" w:color="auto" w:fill="auto"/>
          </w:tcPr>
          <w:p w14:paraId="137021E1" w14:textId="77777777" w:rsidR="007F100A" w:rsidRDefault="005205A2" w:rsidP="007F100A">
            <w:pPr>
              <w:rPr>
                <w:rFonts w:cs="Arial"/>
              </w:rPr>
            </w:pPr>
            <w:r>
              <w:rPr>
                <w:rFonts w:cs="Arial"/>
              </w:rPr>
              <w:t>7</w:t>
            </w:r>
            <w:r w:rsidR="007F100A" w:rsidRPr="005C3FD7">
              <w:rPr>
                <w:rFonts w:cs="Arial"/>
                <w:vertAlign w:val="superscript"/>
              </w:rPr>
              <w:t>th</w:t>
            </w:r>
            <w:r w:rsidR="007F100A">
              <w:rPr>
                <w:rFonts w:cs="Arial"/>
              </w:rPr>
              <w:t xml:space="preserve"> August 2019</w:t>
            </w:r>
          </w:p>
        </w:tc>
      </w:tr>
      <w:tr w:rsidR="007F100A" w14:paraId="137021E6" w14:textId="77777777" w:rsidTr="00582F03">
        <w:tc>
          <w:tcPr>
            <w:tcW w:w="5416" w:type="dxa"/>
            <w:shd w:val="clear" w:color="auto" w:fill="auto"/>
          </w:tcPr>
          <w:p w14:paraId="137021E3" w14:textId="77777777" w:rsidR="007F100A" w:rsidRPr="0031059E" w:rsidRDefault="007F100A" w:rsidP="007F100A">
            <w:r>
              <w:t>Jane Blundell, Principal Management Accountant and Interim Section 151 Officer</w:t>
            </w:r>
          </w:p>
        </w:tc>
        <w:tc>
          <w:tcPr>
            <w:tcW w:w="1753" w:type="dxa"/>
            <w:shd w:val="clear" w:color="auto" w:fill="auto"/>
          </w:tcPr>
          <w:p w14:paraId="137021E4" w14:textId="77777777" w:rsidR="007F100A" w:rsidRPr="0031059E" w:rsidRDefault="007F100A" w:rsidP="007F100A">
            <w:pPr>
              <w:rPr>
                <w:rFonts w:cs="Arial"/>
              </w:rPr>
            </w:pPr>
            <w:r>
              <w:rPr>
                <w:rFonts w:cs="Arial"/>
              </w:rPr>
              <w:t>01772 62 5245</w:t>
            </w:r>
          </w:p>
        </w:tc>
        <w:tc>
          <w:tcPr>
            <w:tcW w:w="2351" w:type="dxa"/>
            <w:vMerge/>
            <w:shd w:val="clear" w:color="auto" w:fill="auto"/>
          </w:tcPr>
          <w:p w14:paraId="137021E5" w14:textId="77777777" w:rsidR="007F100A" w:rsidRPr="0031059E" w:rsidRDefault="007F100A" w:rsidP="007F100A">
            <w:pPr>
              <w:rPr>
                <w:rFonts w:cs="Arial"/>
              </w:rPr>
            </w:pPr>
          </w:p>
        </w:tc>
      </w:tr>
    </w:tbl>
    <w:p w14:paraId="137021E7" w14:textId="77777777" w:rsidR="006F48D4" w:rsidRPr="009725FB" w:rsidRDefault="006F48D4" w:rsidP="00582F03">
      <w:pPr>
        <w:rPr>
          <w:rFonts w:cs="Arial"/>
        </w:rPr>
      </w:pPr>
    </w:p>
    <w:sectPr w:rsidR="006F48D4" w:rsidRPr="009725FB" w:rsidSect="00031B88">
      <w:footerReference w:type="default" r:id="rId9"/>
      <w:pgSz w:w="11906" w:h="16838" w:code="9"/>
      <w:pgMar w:top="1134" w:right="849" w:bottom="964" w:left="1134" w:header="567" w:footer="39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021EC" w14:textId="77777777" w:rsidR="002B2D32" w:rsidRDefault="002B2D32" w:rsidP="0048727F">
      <w:pPr>
        <w:spacing w:line="240" w:lineRule="auto"/>
      </w:pPr>
      <w:r>
        <w:separator/>
      </w:r>
    </w:p>
  </w:endnote>
  <w:endnote w:type="continuationSeparator" w:id="0">
    <w:p w14:paraId="137021ED" w14:textId="77777777" w:rsidR="002B2D32" w:rsidRDefault="002B2D32" w:rsidP="004872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021EE" w14:textId="77777777" w:rsidR="008A38DF" w:rsidRDefault="008A38DF" w:rsidP="0048727F">
    <w:pPr>
      <w:pStyle w:val="Footer"/>
      <w:jc w:val="center"/>
    </w:pPr>
    <w:r w:rsidRPr="00FD7B65">
      <w:rPr>
        <w:sz w:val="24"/>
      </w:rPr>
      <w:fldChar w:fldCharType="begin"/>
    </w:r>
    <w:r w:rsidRPr="00FD7B65">
      <w:rPr>
        <w:sz w:val="24"/>
      </w:rPr>
      <w:instrText xml:space="preserve"> PAGE   \* MERGEFORMAT </w:instrText>
    </w:r>
    <w:r w:rsidRPr="00FD7B65">
      <w:rPr>
        <w:sz w:val="24"/>
      </w:rPr>
      <w:fldChar w:fldCharType="separate"/>
    </w:r>
    <w:r w:rsidR="00582F03">
      <w:rPr>
        <w:noProof/>
        <w:sz w:val="24"/>
      </w:rPr>
      <w:t>12</w:t>
    </w:r>
    <w:r w:rsidRPr="00FD7B65">
      <w:rPr>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021EA" w14:textId="77777777" w:rsidR="002B2D32" w:rsidRDefault="002B2D32" w:rsidP="0048727F">
      <w:pPr>
        <w:spacing w:line="240" w:lineRule="auto"/>
      </w:pPr>
      <w:r>
        <w:separator/>
      </w:r>
    </w:p>
  </w:footnote>
  <w:footnote w:type="continuationSeparator" w:id="0">
    <w:p w14:paraId="137021EB" w14:textId="77777777" w:rsidR="002B2D32" w:rsidRDefault="002B2D32" w:rsidP="0048727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7CAE"/>
    <w:multiLevelType w:val="hybridMultilevel"/>
    <w:tmpl w:val="E4C2641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12A6231B"/>
    <w:multiLevelType w:val="hybridMultilevel"/>
    <w:tmpl w:val="0010B0A0"/>
    <w:lvl w:ilvl="0" w:tplc="E33E5CF6">
      <w:start w:val="1"/>
      <w:numFmt w:val="bullet"/>
      <w:lvlText w:val="u"/>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1453A"/>
    <w:multiLevelType w:val="multilevel"/>
    <w:tmpl w:val="4086D03A"/>
    <w:lvl w:ilvl="0">
      <w:start w:val="1"/>
      <w:numFmt w:val="decimal"/>
      <w:lvlText w:val="%1."/>
      <w:lvlJc w:val="left"/>
      <w:pPr>
        <w:ind w:left="1080" w:hanging="360"/>
      </w:pPr>
      <w:rPr>
        <w:rFonts w:hint="default"/>
        <w:b/>
        <w:i w:val="0"/>
        <w:color w:val="auto"/>
      </w:rPr>
    </w:lvl>
    <w:lvl w:ilvl="1">
      <w:start w:val="1"/>
      <w:numFmt w:val="decimal"/>
      <w:isLgl/>
      <w:lvlText w:val="%1.%2"/>
      <w:lvlJc w:val="left"/>
      <w:pPr>
        <w:ind w:left="1440" w:hanging="360"/>
      </w:pPr>
      <w:rPr>
        <w:rFonts w:hint="default"/>
        <w:b w:val="0"/>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2422573E"/>
    <w:multiLevelType w:val="hybridMultilevel"/>
    <w:tmpl w:val="6046EBE2"/>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33A21400"/>
    <w:multiLevelType w:val="hybridMultilevel"/>
    <w:tmpl w:val="07DE42E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15:restartNumberingAfterBreak="0">
    <w:nsid w:val="3C3E65AC"/>
    <w:multiLevelType w:val="hybridMultilevel"/>
    <w:tmpl w:val="6EBEDD3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15:restartNumberingAfterBreak="0">
    <w:nsid w:val="59821D5B"/>
    <w:multiLevelType w:val="hybridMultilevel"/>
    <w:tmpl w:val="CF265D7E"/>
    <w:lvl w:ilvl="0" w:tplc="3C5CE9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373F96"/>
    <w:multiLevelType w:val="hybridMultilevel"/>
    <w:tmpl w:val="58D68BBA"/>
    <w:lvl w:ilvl="0" w:tplc="5D9213E0">
      <w:start w:val="1"/>
      <w:numFmt w:val="decimal"/>
      <w:pStyle w:val="ListParagraph"/>
      <w:lvlText w:val="%1."/>
      <w:lvlJc w:val="left"/>
      <w:pPr>
        <w:ind w:left="1068" w:hanging="360"/>
      </w:pPr>
      <w:rPr>
        <w:rFonts w:hint="default"/>
        <w:b w:val="0"/>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BF00E5"/>
    <w:multiLevelType w:val="hybridMultilevel"/>
    <w:tmpl w:val="7966B184"/>
    <w:lvl w:ilvl="0" w:tplc="B7B41042">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B60416"/>
    <w:multiLevelType w:val="hybridMultilevel"/>
    <w:tmpl w:val="C146299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num w:numId="1">
    <w:abstractNumId w:val="1"/>
  </w:num>
  <w:num w:numId="2">
    <w:abstractNumId w:val="8"/>
  </w:num>
  <w:num w:numId="3">
    <w:abstractNumId w:val="2"/>
  </w:num>
  <w:num w:numId="4">
    <w:abstractNumId w:val="6"/>
  </w:num>
  <w:num w:numId="5">
    <w:abstractNumId w:val="7"/>
  </w:num>
  <w:num w:numId="6">
    <w:abstractNumId w:val="3"/>
  </w:num>
  <w:num w:numId="7">
    <w:abstractNumId w:val="4"/>
  </w:num>
  <w:num w:numId="8">
    <w:abstractNumId w:val="9"/>
  </w:num>
  <w:num w:numId="9">
    <w:abstractNumId w:val="7"/>
  </w:num>
  <w:num w:numId="10">
    <w:abstractNumId w:val="0"/>
  </w:num>
  <w:num w:numId="11">
    <w:abstractNumId w:val="7"/>
    <w:lvlOverride w:ilvl="0">
      <w:startOverride w:val="1"/>
    </w:lvlOverride>
  </w:num>
  <w:num w:numId="12">
    <w:abstractNumId w:val="7"/>
    <w:lvlOverride w:ilvl="0">
      <w:startOverride w:val="1"/>
    </w:lvlOverride>
  </w:num>
  <w:num w:numId="13">
    <w:abstractNumId w:val="5"/>
  </w:num>
  <w:num w:numId="14">
    <w:abstractNumId w:val="7"/>
    <w:lvlOverride w:ilvl="0">
      <w:startOverride w:val="1"/>
    </w:lvlOverride>
  </w:num>
  <w:num w:numId="15">
    <w:abstractNumId w:val="7"/>
    <w:lvlOverride w:ilvl="0">
      <w:startOverride w:val="1"/>
    </w:lvlOverride>
  </w:num>
  <w:num w:numId="16">
    <w:abstractNumId w:val="7"/>
  </w:num>
  <w:num w:numId="1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48"/>
    <w:rsid w:val="000072D3"/>
    <w:rsid w:val="00017022"/>
    <w:rsid w:val="00017D6A"/>
    <w:rsid w:val="0002256A"/>
    <w:rsid w:val="0002287D"/>
    <w:rsid w:val="00031B88"/>
    <w:rsid w:val="000354B6"/>
    <w:rsid w:val="00036D6D"/>
    <w:rsid w:val="00056756"/>
    <w:rsid w:val="000731A9"/>
    <w:rsid w:val="0009059F"/>
    <w:rsid w:val="000B5166"/>
    <w:rsid w:val="000C150D"/>
    <w:rsid w:val="000F51E7"/>
    <w:rsid w:val="00122201"/>
    <w:rsid w:val="00122EA7"/>
    <w:rsid w:val="00126032"/>
    <w:rsid w:val="00154379"/>
    <w:rsid w:val="001B1B87"/>
    <w:rsid w:val="001B2D6E"/>
    <w:rsid w:val="001C3D3C"/>
    <w:rsid w:val="001D1401"/>
    <w:rsid w:val="001D628B"/>
    <w:rsid w:val="001E5A09"/>
    <w:rsid w:val="0020546E"/>
    <w:rsid w:val="00212248"/>
    <w:rsid w:val="0022379A"/>
    <w:rsid w:val="00226540"/>
    <w:rsid w:val="00227261"/>
    <w:rsid w:val="00237F98"/>
    <w:rsid w:val="00255C15"/>
    <w:rsid w:val="0026059B"/>
    <w:rsid w:val="00283CF8"/>
    <w:rsid w:val="002A0826"/>
    <w:rsid w:val="002A6DD9"/>
    <w:rsid w:val="002B2D32"/>
    <w:rsid w:val="002B4AD4"/>
    <w:rsid w:val="002B758F"/>
    <w:rsid w:val="002C2140"/>
    <w:rsid w:val="002C37A6"/>
    <w:rsid w:val="002C4A0A"/>
    <w:rsid w:val="00300113"/>
    <w:rsid w:val="00303324"/>
    <w:rsid w:val="00305BDE"/>
    <w:rsid w:val="003069B5"/>
    <w:rsid w:val="0032189D"/>
    <w:rsid w:val="00324997"/>
    <w:rsid w:val="003322AC"/>
    <w:rsid w:val="0033520A"/>
    <w:rsid w:val="003431AD"/>
    <w:rsid w:val="00356DF5"/>
    <w:rsid w:val="00357D94"/>
    <w:rsid w:val="003702F5"/>
    <w:rsid w:val="003846A2"/>
    <w:rsid w:val="003A592F"/>
    <w:rsid w:val="003B0412"/>
    <w:rsid w:val="003B5FF5"/>
    <w:rsid w:val="003B6DBF"/>
    <w:rsid w:val="003F4AD6"/>
    <w:rsid w:val="00415579"/>
    <w:rsid w:val="004303D0"/>
    <w:rsid w:val="0043544E"/>
    <w:rsid w:val="0044081D"/>
    <w:rsid w:val="00445F2F"/>
    <w:rsid w:val="00450CF4"/>
    <w:rsid w:val="004768A1"/>
    <w:rsid w:val="004834BE"/>
    <w:rsid w:val="0048727F"/>
    <w:rsid w:val="00487A4B"/>
    <w:rsid w:val="004C3CE1"/>
    <w:rsid w:val="004D63D7"/>
    <w:rsid w:val="004F128A"/>
    <w:rsid w:val="004F4F9C"/>
    <w:rsid w:val="00505F0A"/>
    <w:rsid w:val="00514FF3"/>
    <w:rsid w:val="00515BC4"/>
    <w:rsid w:val="005205A2"/>
    <w:rsid w:val="00537392"/>
    <w:rsid w:val="005406E9"/>
    <w:rsid w:val="00540D94"/>
    <w:rsid w:val="00554651"/>
    <w:rsid w:val="005653A6"/>
    <w:rsid w:val="005701ED"/>
    <w:rsid w:val="00571365"/>
    <w:rsid w:val="00571449"/>
    <w:rsid w:val="00571B3C"/>
    <w:rsid w:val="00582F03"/>
    <w:rsid w:val="0058500B"/>
    <w:rsid w:val="005864F4"/>
    <w:rsid w:val="00594ED5"/>
    <w:rsid w:val="005A07FB"/>
    <w:rsid w:val="005A791D"/>
    <w:rsid w:val="005B6CD2"/>
    <w:rsid w:val="005C3FD7"/>
    <w:rsid w:val="005C6F8A"/>
    <w:rsid w:val="005D1445"/>
    <w:rsid w:val="005D7544"/>
    <w:rsid w:val="005E14B8"/>
    <w:rsid w:val="005F4128"/>
    <w:rsid w:val="00632C2C"/>
    <w:rsid w:val="00653C71"/>
    <w:rsid w:val="006566FF"/>
    <w:rsid w:val="00672A48"/>
    <w:rsid w:val="006960C1"/>
    <w:rsid w:val="006B7C24"/>
    <w:rsid w:val="006C5705"/>
    <w:rsid w:val="006F48D4"/>
    <w:rsid w:val="00700C89"/>
    <w:rsid w:val="00706E7B"/>
    <w:rsid w:val="00721E65"/>
    <w:rsid w:val="00723E90"/>
    <w:rsid w:val="00746F72"/>
    <w:rsid w:val="00755B35"/>
    <w:rsid w:val="007635E3"/>
    <w:rsid w:val="007839FA"/>
    <w:rsid w:val="00784014"/>
    <w:rsid w:val="007D2B60"/>
    <w:rsid w:val="007E1BC3"/>
    <w:rsid w:val="007F100A"/>
    <w:rsid w:val="007F78C1"/>
    <w:rsid w:val="00803EC0"/>
    <w:rsid w:val="0081130A"/>
    <w:rsid w:val="00812150"/>
    <w:rsid w:val="00834615"/>
    <w:rsid w:val="00837B5E"/>
    <w:rsid w:val="008409F6"/>
    <w:rsid w:val="00867FFD"/>
    <w:rsid w:val="00871243"/>
    <w:rsid w:val="00871E49"/>
    <w:rsid w:val="0088690F"/>
    <w:rsid w:val="0089499D"/>
    <w:rsid w:val="00896C70"/>
    <w:rsid w:val="008A2473"/>
    <w:rsid w:val="008A38DF"/>
    <w:rsid w:val="008A3E5D"/>
    <w:rsid w:val="008A4ABD"/>
    <w:rsid w:val="008B1229"/>
    <w:rsid w:val="008B1DFE"/>
    <w:rsid w:val="008F6CB7"/>
    <w:rsid w:val="00906FB1"/>
    <w:rsid w:val="00917CB5"/>
    <w:rsid w:val="009214E8"/>
    <w:rsid w:val="00924558"/>
    <w:rsid w:val="009248E8"/>
    <w:rsid w:val="00956429"/>
    <w:rsid w:val="009635C8"/>
    <w:rsid w:val="00967A3C"/>
    <w:rsid w:val="00967FCA"/>
    <w:rsid w:val="009D0F91"/>
    <w:rsid w:val="009F0BB6"/>
    <w:rsid w:val="009F68B5"/>
    <w:rsid w:val="00A069E7"/>
    <w:rsid w:val="00A123C3"/>
    <w:rsid w:val="00A2511C"/>
    <w:rsid w:val="00A27BA8"/>
    <w:rsid w:val="00A322B5"/>
    <w:rsid w:val="00A32F31"/>
    <w:rsid w:val="00A42D20"/>
    <w:rsid w:val="00A42F4D"/>
    <w:rsid w:val="00A57444"/>
    <w:rsid w:val="00A57A2C"/>
    <w:rsid w:val="00A67602"/>
    <w:rsid w:val="00A747C0"/>
    <w:rsid w:val="00AA43C2"/>
    <w:rsid w:val="00AB29FB"/>
    <w:rsid w:val="00AB6767"/>
    <w:rsid w:val="00AC246A"/>
    <w:rsid w:val="00AC2DE2"/>
    <w:rsid w:val="00AD336E"/>
    <w:rsid w:val="00B2075B"/>
    <w:rsid w:val="00B2079D"/>
    <w:rsid w:val="00B21A3E"/>
    <w:rsid w:val="00B45E1B"/>
    <w:rsid w:val="00B53796"/>
    <w:rsid w:val="00B72384"/>
    <w:rsid w:val="00BA34E4"/>
    <w:rsid w:val="00BC24FA"/>
    <w:rsid w:val="00BD7D18"/>
    <w:rsid w:val="00BE74CA"/>
    <w:rsid w:val="00BF74BB"/>
    <w:rsid w:val="00C04961"/>
    <w:rsid w:val="00C118A3"/>
    <w:rsid w:val="00C13C27"/>
    <w:rsid w:val="00C311CB"/>
    <w:rsid w:val="00C4368E"/>
    <w:rsid w:val="00C50E55"/>
    <w:rsid w:val="00C56010"/>
    <w:rsid w:val="00C62478"/>
    <w:rsid w:val="00C62BA9"/>
    <w:rsid w:val="00C63429"/>
    <w:rsid w:val="00C656B9"/>
    <w:rsid w:val="00C72710"/>
    <w:rsid w:val="00CA70B1"/>
    <w:rsid w:val="00CB2A6D"/>
    <w:rsid w:val="00CB3BAE"/>
    <w:rsid w:val="00CB5A0A"/>
    <w:rsid w:val="00CB653D"/>
    <w:rsid w:val="00CC50F4"/>
    <w:rsid w:val="00CE31EE"/>
    <w:rsid w:val="00CE32CF"/>
    <w:rsid w:val="00CF7BF8"/>
    <w:rsid w:val="00D14242"/>
    <w:rsid w:val="00D200D7"/>
    <w:rsid w:val="00D22220"/>
    <w:rsid w:val="00D3198B"/>
    <w:rsid w:val="00D44026"/>
    <w:rsid w:val="00D441E9"/>
    <w:rsid w:val="00D44314"/>
    <w:rsid w:val="00D44FBA"/>
    <w:rsid w:val="00D73FBA"/>
    <w:rsid w:val="00D76F00"/>
    <w:rsid w:val="00D97C70"/>
    <w:rsid w:val="00DC15C2"/>
    <w:rsid w:val="00DE2A9B"/>
    <w:rsid w:val="00E017E3"/>
    <w:rsid w:val="00E12977"/>
    <w:rsid w:val="00E32BAC"/>
    <w:rsid w:val="00E70349"/>
    <w:rsid w:val="00E753DA"/>
    <w:rsid w:val="00E80256"/>
    <w:rsid w:val="00E91FFB"/>
    <w:rsid w:val="00EA422C"/>
    <w:rsid w:val="00EB655A"/>
    <w:rsid w:val="00EB6DD6"/>
    <w:rsid w:val="00EC3627"/>
    <w:rsid w:val="00EC78CC"/>
    <w:rsid w:val="00ED5A52"/>
    <w:rsid w:val="00EE1C45"/>
    <w:rsid w:val="00EE618A"/>
    <w:rsid w:val="00EE76BA"/>
    <w:rsid w:val="00EF486C"/>
    <w:rsid w:val="00F100F2"/>
    <w:rsid w:val="00F1759C"/>
    <w:rsid w:val="00F20BE4"/>
    <w:rsid w:val="00F329BF"/>
    <w:rsid w:val="00F407AA"/>
    <w:rsid w:val="00F74F10"/>
    <w:rsid w:val="00F80A0C"/>
    <w:rsid w:val="00F85A0E"/>
    <w:rsid w:val="00F90148"/>
    <w:rsid w:val="00FC12B0"/>
    <w:rsid w:val="00FD25A5"/>
    <w:rsid w:val="00FF5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01DE2"/>
  <w15:chartTrackingRefBased/>
  <w15:docId w15:val="{015BEFDF-D62D-4ACD-9FF0-44A50D0C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FD7"/>
    <w:pPr>
      <w:spacing w:after="0" w:line="288" w:lineRule="auto"/>
      <w:jc w:val="both"/>
    </w:pPr>
    <w:rPr>
      <w:rFonts w:ascii="Arial" w:eastAsia="Times New Roman" w:hAnsi="Arial" w:cs="Times New Roman"/>
      <w:szCs w:val="20"/>
      <w:lang w:eastAsia="en-GB"/>
    </w:rPr>
  </w:style>
  <w:style w:type="paragraph" w:styleId="Heading1">
    <w:name w:val="heading 1"/>
    <w:basedOn w:val="Normal"/>
    <w:next w:val="Normal"/>
    <w:link w:val="Heading1Char"/>
    <w:qFormat/>
    <w:rsid w:val="00017D6A"/>
    <w:pPr>
      <w:keepNext/>
      <w:spacing w:after="120"/>
      <w:outlineLvl w:val="0"/>
    </w:pPr>
    <w:rPr>
      <w:b/>
      <w:caps/>
    </w:rPr>
  </w:style>
  <w:style w:type="paragraph" w:styleId="Heading2">
    <w:name w:val="heading 2"/>
    <w:basedOn w:val="Normal"/>
    <w:next w:val="Normal"/>
    <w:link w:val="Heading2Char"/>
    <w:uiPriority w:val="9"/>
    <w:unhideWhenUsed/>
    <w:qFormat/>
    <w:rsid w:val="00594ED5"/>
    <w:pPr>
      <w:spacing w:after="120"/>
      <w:ind w:left="714" w:hanging="357"/>
      <w:outlineLvl w:val="1"/>
    </w:pPr>
    <w:rPr>
      <w:b/>
      <w:color w:val="0070C0"/>
    </w:rPr>
  </w:style>
  <w:style w:type="paragraph" w:styleId="Heading3">
    <w:name w:val="heading 3"/>
    <w:basedOn w:val="Normal"/>
    <w:next w:val="Normal"/>
    <w:link w:val="Heading3Char"/>
    <w:uiPriority w:val="9"/>
    <w:unhideWhenUsed/>
    <w:qFormat/>
    <w:rsid w:val="00632C2C"/>
    <w:pPr>
      <w:ind w:firstLine="357"/>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D6A"/>
    <w:rPr>
      <w:rFonts w:ascii="Arial" w:eastAsia="Times New Roman" w:hAnsi="Arial" w:cs="Times New Roman"/>
      <w:b/>
      <w:caps/>
      <w:szCs w:val="20"/>
      <w:lang w:eastAsia="en-GB"/>
    </w:rPr>
  </w:style>
  <w:style w:type="paragraph" w:styleId="Footer">
    <w:name w:val="footer"/>
    <w:basedOn w:val="Normal"/>
    <w:link w:val="FooterChar"/>
    <w:uiPriority w:val="99"/>
    <w:rsid w:val="00672A48"/>
    <w:pPr>
      <w:tabs>
        <w:tab w:val="center" w:pos="4153"/>
        <w:tab w:val="right" w:pos="8306"/>
      </w:tabs>
    </w:pPr>
  </w:style>
  <w:style w:type="character" w:customStyle="1" w:styleId="FooterChar">
    <w:name w:val="Footer Char"/>
    <w:basedOn w:val="DefaultParagraphFont"/>
    <w:link w:val="Footer"/>
    <w:uiPriority w:val="99"/>
    <w:rsid w:val="00672A48"/>
    <w:rPr>
      <w:rFonts w:ascii="Arial" w:eastAsia="Times New Roman" w:hAnsi="Arial" w:cs="Times New Roman"/>
      <w:szCs w:val="20"/>
      <w:lang w:eastAsia="en-GB"/>
    </w:rPr>
  </w:style>
  <w:style w:type="paragraph" w:styleId="ListParagraph">
    <w:name w:val="List Paragraph"/>
    <w:basedOn w:val="Normal"/>
    <w:uiPriority w:val="34"/>
    <w:qFormat/>
    <w:rsid w:val="00537392"/>
    <w:pPr>
      <w:numPr>
        <w:numId w:val="5"/>
      </w:numPr>
      <w:spacing w:after="120"/>
      <w:outlineLvl w:val="0"/>
    </w:pPr>
    <w:rPr>
      <w:rFonts w:eastAsia="Calibri"/>
      <w:szCs w:val="22"/>
      <w:lang w:eastAsia="en-US"/>
    </w:rPr>
  </w:style>
  <w:style w:type="paragraph" w:styleId="Header">
    <w:name w:val="header"/>
    <w:basedOn w:val="Normal"/>
    <w:link w:val="HeaderChar"/>
    <w:unhideWhenUsed/>
    <w:rsid w:val="0048727F"/>
    <w:pPr>
      <w:tabs>
        <w:tab w:val="center" w:pos="4513"/>
        <w:tab w:val="right" w:pos="9026"/>
      </w:tabs>
    </w:pPr>
  </w:style>
  <w:style w:type="character" w:customStyle="1" w:styleId="HeaderChar">
    <w:name w:val="Header Char"/>
    <w:basedOn w:val="DefaultParagraphFont"/>
    <w:link w:val="Header"/>
    <w:rsid w:val="0048727F"/>
    <w:rPr>
      <w:rFonts w:ascii="Arial" w:eastAsia="Times New Roman" w:hAnsi="Arial" w:cs="Times New Roman"/>
      <w:szCs w:val="20"/>
      <w:lang w:eastAsia="en-GB"/>
    </w:rPr>
  </w:style>
  <w:style w:type="character" w:customStyle="1" w:styleId="Heading2Char">
    <w:name w:val="Heading 2 Char"/>
    <w:basedOn w:val="DefaultParagraphFont"/>
    <w:link w:val="Heading2"/>
    <w:uiPriority w:val="9"/>
    <w:rsid w:val="00594ED5"/>
    <w:rPr>
      <w:rFonts w:ascii="Arial" w:eastAsia="Times New Roman" w:hAnsi="Arial" w:cs="Times New Roman"/>
      <w:b/>
      <w:color w:val="0070C0"/>
      <w:szCs w:val="20"/>
      <w:lang w:eastAsia="en-GB"/>
    </w:rPr>
  </w:style>
  <w:style w:type="table" w:styleId="TableGrid">
    <w:name w:val="Table Grid"/>
    <w:basedOn w:val="TableNormal"/>
    <w:uiPriority w:val="39"/>
    <w:rsid w:val="00840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32C2C"/>
    <w:rPr>
      <w:rFonts w:ascii="Arial" w:eastAsia="Times New Roman" w:hAnsi="Arial" w:cs="Times New Roman"/>
      <w:b/>
      <w:szCs w:val="20"/>
      <w:lang w:eastAsia="en-GB"/>
    </w:rPr>
  </w:style>
  <w:style w:type="character" w:styleId="CommentReference">
    <w:name w:val="annotation reference"/>
    <w:basedOn w:val="DefaultParagraphFont"/>
    <w:uiPriority w:val="99"/>
    <w:semiHidden/>
    <w:unhideWhenUsed/>
    <w:rsid w:val="00FC12B0"/>
    <w:rPr>
      <w:sz w:val="16"/>
      <w:szCs w:val="16"/>
    </w:rPr>
  </w:style>
  <w:style w:type="paragraph" w:styleId="CommentText">
    <w:name w:val="annotation text"/>
    <w:basedOn w:val="Normal"/>
    <w:link w:val="CommentTextChar"/>
    <w:uiPriority w:val="99"/>
    <w:semiHidden/>
    <w:unhideWhenUsed/>
    <w:rsid w:val="00FC12B0"/>
    <w:pPr>
      <w:spacing w:line="240" w:lineRule="auto"/>
    </w:pPr>
    <w:rPr>
      <w:sz w:val="20"/>
    </w:rPr>
  </w:style>
  <w:style w:type="character" w:customStyle="1" w:styleId="CommentTextChar">
    <w:name w:val="Comment Text Char"/>
    <w:basedOn w:val="DefaultParagraphFont"/>
    <w:link w:val="CommentText"/>
    <w:uiPriority w:val="99"/>
    <w:semiHidden/>
    <w:rsid w:val="00FC12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C12B0"/>
    <w:rPr>
      <w:b/>
      <w:bCs/>
    </w:rPr>
  </w:style>
  <w:style w:type="character" w:customStyle="1" w:styleId="CommentSubjectChar">
    <w:name w:val="Comment Subject Char"/>
    <w:basedOn w:val="CommentTextChar"/>
    <w:link w:val="CommentSubject"/>
    <w:uiPriority w:val="99"/>
    <w:semiHidden/>
    <w:rsid w:val="00FC12B0"/>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C12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2B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3485">
      <w:bodyDiv w:val="1"/>
      <w:marLeft w:val="0"/>
      <w:marRight w:val="0"/>
      <w:marTop w:val="0"/>
      <w:marBottom w:val="0"/>
      <w:divBdr>
        <w:top w:val="none" w:sz="0" w:space="0" w:color="auto"/>
        <w:left w:val="none" w:sz="0" w:space="0" w:color="auto"/>
        <w:bottom w:val="none" w:sz="0" w:space="0" w:color="auto"/>
        <w:right w:val="none" w:sz="0" w:space="0" w:color="auto"/>
      </w:divBdr>
    </w:div>
    <w:div w:id="767577576">
      <w:bodyDiv w:val="1"/>
      <w:marLeft w:val="0"/>
      <w:marRight w:val="0"/>
      <w:marTop w:val="0"/>
      <w:marBottom w:val="0"/>
      <w:divBdr>
        <w:top w:val="none" w:sz="0" w:space="0" w:color="auto"/>
        <w:left w:val="none" w:sz="0" w:space="0" w:color="auto"/>
        <w:bottom w:val="none" w:sz="0" w:space="0" w:color="auto"/>
        <w:right w:val="none" w:sz="0" w:space="0" w:color="auto"/>
      </w:divBdr>
    </w:div>
    <w:div w:id="19321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084A6-851E-46A6-94B9-13693255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3789</Words>
  <Characters>21600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James</dc:creator>
  <cp:keywords/>
  <dc:description/>
  <cp:lastModifiedBy>Astbury, Coral</cp:lastModifiedBy>
  <cp:revision>20</cp:revision>
  <dcterms:created xsi:type="dcterms:W3CDTF">2019-08-16T11:05:00Z</dcterms:created>
  <dcterms:modified xsi:type="dcterms:W3CDTF">2019-08-30T11:16:00Z</dcterms:modified>
</cp:coreProperties>
</file>